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6" w:type="dxa"/>
        <w:tblInd w:w="108" w:type="dxa"/>
        <w:tblLook w:val="04A0" w:firstRow="1" w:lastRow="0" w:firstColumn="1" w:lastColumn="0" w:noHBand="0" w:noVBand="1"/>
      </w:tblPr>
      <w:tblGrid>
        <w:gridCol w:w="3369"/>
        <w:gridCol w:w="5917"/>
      </w:tblGrid>
      <w:tr w:rsidR="006F37D0" w:rsidRPr="00B96FED" w14:paraId="4E8E45AB" w14:textId="77777777" w:rsidTr="00F26854">
        <w:trPr>
          <w:trHeight w:val="1757"/>
        </w:trPr>
        <w:tc>
          <w:tcPr>
            <w:tcW w:w="3369" w:type="dxa"/>
            <w:tcBorders>
              <w:left w:val="single" w:sz="48" w:space="0" w:color="BC9E6E"/>
            </w:tcBorders>
            <w:shd w:val="clear" w:color="auto" w:fill="auto"/>
            <w:vAlign w:val="center"/>
          </w:tcPr>
          <w:p w14:paraId="2D35BD19" w14:textId="77777777" w:rsidR="00C711D6" w:rsidRPr="00766A4F" w:rsidRDefault="001F260A" w:rsidP="00B220DD">
            <w:pPr>
              <w:tabs>
                <w:tab w:val="left" w:pos="4680"/>
                <w:tab w:val="left" w:pos="8100"/>
              </w:tabs>
              <w:spacing w:before="60"/>
              <w:ind w:right="142" w:firstLine="142"/>
              <w:rPr>
                <w:i/>
                <w:noProof/>
                <w:szCs w:val="22"/>
                <w:lang w:eastAsia="en-GB"/>
              </w:rPr>
            </w:pPr>
            <w:r>
              <w:rPr>
                <w:i/>
                <w:noProof/>
                <w:szCs w:val="22"/>
                <w:lang w:val="en-US" w:eastAsia="en-US"/>
              </w:rPr>
              <w:drawing>
                <wp:inline distT="0" distB="0" distL="0" distR="0" wp14:anchorId="6AD37C23" wp14:editId="4E4E2A8C">
                  <wp:extent cx="1621155" cy="873125"/>
                  <wp:effectExtent l="0" t="0" r="0" b="0"/>
                  <wp:docPr id="3" name="Picture 1" descr="LOGO TE - small 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 - small 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155" cy="873125"/>
                          </a:xfrm>
                          <a:prstGeom prst="rect">
                            <a:avLst/>
                          </a:prstGeom>
                          <a:noFill/>
                          <a:ln>
                            <a:noFill/>
                          </a:ln>
                        </pic:spPr>
                      </pic:pic>
                    </a:graphicData>
                  </a:graphic>
                </wp:inline>
              </w:drawing>
            </w:r>
          </w:p>
        </w:tc>
        <w:tc>
          <w:tcPr>
            <w:tcW w:w="5917" w:type="dxa"/>
            <w:shd w:val="clear" w:color="auto" w:fill="auto"/>
          </w:tcPr>
          <w:p w14:paraId="01A42048" w14:textId="77777777" w:rsidR="00375D2B" w:rsidRDefault="00375D2B" w:rsidP="00375D2B">
            <w:pPr>
              <w:pStyle w:val="Heading1"/>
              <w:jc w:val="right"/>
              <w:rPr>
                <w:b/>
                <w:i w:val="0"/>
                <w:noProof/>
                <w:sz w:val="32"/>
                <w:szCs w:val="22"/>
                <w:u w:val="none"/>
                <w:lang w:eastAsia="en-GB"/>
              </w:rPr>
            </w:pPr>
          </w:p>
          <w:p w14:paraId="1077267A" w14:textId="77777777" w:rsidR="00375D2B" w:rsidRPr="006932B9" w:rsidRDefault="00B96FED" w:rsidP="00375D2B">
            <w:pPr>
              <w:pStyle w:val="Heading1"/>
              <w:jc w:val="right"/>
              <w:rPr>
                <w:b/>
                <w:i w:val="0"/>
                <w:noProof/>
                <w:color w:val="00205B"/>
                <w:sz w:val="28"/>
                <w:szCs w:val="22"/>
                <w:u w:val="none"/>
                <w:lang w:eastAsia="en-GB"/>
              </w:rPr>
            </w:pPr>
            <w:r>
              <w:rPr>
                <w:b/>
                <w:i w:val="0"/>
                <w:noProof/>
                <w:color w:val="00205B"/>
                <w:sz w:val="28"/>
                <w:szCs w:val="22"/>
                <w:u w:val="none"/>
                <w:lang w:eastAsia="en-GB"/>
              </w:rPr>
              <w:t>ΟΜΙΛΙΑ</w:t>
            </w:r>
          </w:p>
          <w:p w14:paraId="460BD244" w14:textId="77777777" w:rsidR="00C711D6" w:rsidRPr="00DA2D5C" w:rsidRDefault="00375D2B" w:rsidP="00BD68CC">
            <w:pPr>
              <w:pStyle w:val="Heading1"/>
              <w:ind w:firstLine="0"/>
              <w:jc w:val="right"/>
              <w:rPr>
                <w:i w:val="0"/>
                <w:noProof/>
                <w:szCs w:val="22"/>
                <w:u w:val="none"/>
                <w:lang w:eastAsia="en-GB"/>
              </w:rPr>
            </w:pPr>
            <w:r w:rsidRPr="006932B9">
              <w:rPr>
                <w:i w:val="0"/>
                <w:noProof/>
                <w:color w:val="00205B"/>
                <w:szCs w:val="22"/>
                <w:u w:val="none"/>
                <w:lang w:eastAsia="en-GB"/>
              </w:rPr>
              <w:t xml:space="preserve">Αθήνα, </w:t>
            </w:r>
            <w:r w:rsidR="009C06EC">
              <w:rPr>
                <w:i w:val="0"/>
                <w:noProof/>
                <w:color w:val="00205B"/>
                <w:szCs w:val="22"/>
                <w:u w:val="none"/>
                <w:lang w:eastAsia="en-GB"/>
              </w:rPr>
              <w:t>1</w:t>
            </w:r>
            <w:r w:rsidR="007B7A27">
              <w:rPr>
                <w:i w:val="0"/>
                <w:noProof/>
                <w:color w:val="00205B"/>
                <w:szCs w:val="22"/>
                <w:u w:val="none"/>
                <w:lang w:eastAsia="en-GB"/>
              </w:rPr>
              <w:t>6</w:t>
            </w:r>
            <w:r w:rsidR="00B96FED" w:rsidRPr="00B96FED">
              <w:rPr>
                <w:i w:val="0"/>
                <w:noProof/>
                <w:color w:val="00205B"/>
                <w:szCs w:val="22"/>
                <w:u w:val="none"/>
                <w:lang w:val="en-US" w:eastAsia="en-GB"/>
              </w:rPr>
              <w:t xml:space="preserve"> </w:t>
            </w:r>
            <w:r w:rsidR="00BD68CC">
              <w:rPr>
                <w:i w:val="0"/>
                <w:noProof/>
                <w:color w:val="00205B"/>
                <w:szCs w:val="22"/>
                <w:u w:val="none"/>
                <w:lang w:eastAsia="en-GB"/>
              </w:rPr>
              <w:t>Φεβρουαρίου</w:t>
            </w:r>
            <w:r w:rsidR="009C06EC">
              <w:rPr>
                <w:i w:val="0"/>
                <w:noProof/>
                <w:color w:val="00205B"/>
                <w:szCs w:val="22"/>
                <w:u w:val="none"/>
                <w:lang w:val="en-US" w:eastAsia="en-GB"/>
              </w:rPr>
              <w:t xml:space="preserve"> 2023</w:t>
            </w:r>
          </w:p>
        </w:tc>
      </w:tr>
    </w:tbl>
    <w:p w14:paraId="431393E0" w14:textId="77777777" w:rsidR="00C711D6" w:rsidRPr="0068536A" w:rsidRDefault="00C711D6" w:rsidP="00C711D6">
      <w:pPr>
        <w:pStyle w:val="Heading1"/>
        <w:ind w:firstLine="0"/>
        <w:jc w:val="center"/>
        <w:rPr>
          <w:i w:val="0"/>
          <w:noProof/>
          <w:szCs w:val="22"/>
          <w:u w:val="none"/>
          <w:lang w:eastAsia="en-GB"/>
        </w:rPr>
      </w:pPr>
    </w:p>
    <w:p w14:paraId="611CE1A6" w14:textId="77777777" w:rsidR="00B44F1A" w:rsidRDefault="007B7A27" w:rsidP="007B7A27">
      <w:pPr>
        <w:jc w:val="center"/>
        <w:rPr>
          <w:b/>
          <w:color w:val="00205B"/>
          <w:sz w:val="32"/>
          <w:szCs w:val="32"/>
          <w:lang w:val="el-GR"/>
        </w:rPr>
      </w:pPr>
      <w:r w:rsidRPr="007B7A27">
        <w:rPr>
          <w:b/>
          <w:color w:val="00205B"/>
          <w:sz w:val="32"/>
          <w:szCs w:val="32"/>
          <w:lang w:val="el-GR"/>
        </w:rPr>
        <w:t xml:space="preserve">«Προκλήσεις για την ελληνική </w:t>
      </w:r>
    </w:p>
    <w:p w14:paraId="2C097F03" w14:textId="77777777" w:rsidR="007B7A27" w:rsidRDefault="007B7A27" w:rsidP="007B7A27">
      <w:pPr>
        <w:jc w:val="center"/>
        <w:rPr>
          <w:b/>
          <w:color w:val="00205B"/>
          <w:sz w:val="32"/>
          <w:szCs w:val="32"/>
          <w:lang w:val="el-GR"/>
        </w:rPr>
      </w:pPr>
      <w:r w:rsidRPr="007B7A27">
        <w:rPr>
          <w:b/>
          <w:color w:val="00205B"/>
          <w:sz w:val="32"/>
          <w:szCs w:val="32"/>
          <w:lang w:val="el-GR"/>
        </w:rPr>
        <w:t>και την ευρωπαϊκή οικονομία»</w:t>
      </w:r>
    </w:p>
    <w:p w14:paraId="035A6A8A" w14:textId="77777777" w:rsidR="00FF5D14" w:rsidRPr="0068536A" w:rsidRDefault="00FF5D14" w:rsidP="00FF5D14">
      <w:pPr>
        <w:rPr>
          <w:lang w:val="el-GR" w:eastAsia="en-GB"/>
        </w:rPr>
      </w:pPr>
    </w:p>
    <w:p w14:paraId="3EB5D872" w14:textId="77777777" w:rsidR="007B7A27" w:rsidRPr="007B7A27" w:rsidRDefault="00BD68CC" w:rsidP="007B7A27">
      <w:pPr>
        <w:jc w:val="center"/>
        <w:rPr>
          <w:b/>
          <w:color w:val="00205B"/>
          <w:sz w:val="28"/>
          <w:szCs w:val="28"/>
          <w:lang w:val="el-GR"/>
        </w:rPr>
      </w:pPr>
      <w:r w:rsidRPr="007B7A27">
        <w:rPr>
          <w:b/>
          <w:color w:val="00205B"/>
          <w:sz w:val="28"/>
          <w:szCs w:val="28"/>
          <w:lang w:val="el-GR"/>
        </w:rPr>
        <w:t xml:space="preserve">Ομιλία του Διοικητή της Τράπεζας της Ελλάδος Γιάννη Στουρνάρα </w:t>
      </w:r>
      <w:r w:rsidR="007B7A27" w:rsidRPr="007B7A27">
        <w:rPr>
          <w:b/>
          <w:color w:val="00205B"/>
          <w:sz w:val="28"/>
          <w:szCs w:val="28"/>
          <w:lang w:val="el-GR"/>
        </w:rPr>
        <w:t xml:space="preserve">στο </w:t>
      </w:r>
      <w:proofErr w:type="spellStart"/>
      <w:r w:rsidR="007B7A27" w:rsidRPr="007B7A27">
        <w:rPr>
          <w:b/>
          <w:color w:val="00205B"/>
          <w:sz w:val="28"/>
          <w:szCs w:val="28"/>
          <w:lang w:val="el-GR"/>
        </w:rPr>
        <w:t>Ελληνογερμανικό</w:t>
      </w:r>
      <w:proofErr w:type="spellEnd"/>
      <w:r w:rsidR="007B7A27" w:rsidRPr="007B7A27">
        <w:rPr>
          <w:b/>
          <w:color w:val="00205B"/>
          <w:sz w:val="28"/>
          <w:szCs w:val="28"/>
          <w:lang w:val="el-GR"/>
        </w:rPr>
        <w:t xml:space="preserve"> Επιμελητήριο</w:t>
      </w:r>
    </w:p>
    <w:p w14:paraId="613D5C9D" w14:textId="77777777" w:rsidR="00B27D04" w:rsidRDefault="00B27D04" w:rsidP="007B7A27">
      <w:pPr>
        <w:jc w:val="both"/>
        <w:rPr>
          <w:b/>
          <w:color w:val="00205B"/>
          <w:sz w:val="28"/>
          <w:szCs w:val="28"/>
          <w:lang w:val="el-GR"/>
        </w:rPr>
      </w:pPr>
    </w:p>
    <w:p w14:paraId="0A16CCA7" w14:textId="77777777" w:rsidR="007B7A27" w:rsidRPr="00D75D85" w:rsidRDefault="007B7A27" w:rsidP="007B7A27">
      <w:pPr>
        <w:spacing w:before="120" w:line="360" w:lineRule="auto"/>
        <w:jc w:val="both"/>
        <w:rPr>
          <w:b/>
          <w:sz w:val="22"/>
          <w:szCs w:val="22"/>
          <w:lang w:val="el-GR"/>
        </w:rPr>
      </w:pPr>
      <w:r w:rsidRPr="00D75D85">
        <w:rPr>
          <w:b/>
          <w:sz w:val="22"/>
          <w:szCs w:val="22"/>
          <w:lang w:val="el-GR"/>
        </w:rPr>
        <w:t>Α. Εισαγωγή</w:t>
      </w:r>
    </w:p>
    <w:p w14:paraId="27B5DF70" w14:textId="77777777" w:rsidR="007B7A27" w:rsidRPr="007B7A27" w:rsidRDefault="007B7A27" w:rsidP="007B7A27">
      <w:pPr>
        <w:spacing w:before="120" w:line="360" w:lineRule="auto"/>
        <w:jc w:val="both"/>
        <w:rPr>
          <w:sz w:val="22"/>
          <w:szCs w:val="22"/>
          <w:lang w:val="el-GR"/>
        </w:rPr>
      </w:pPr>
      <w:r w:rsidRPr="007B7A27">
        <w:rPr>
          <w:sz w:val="22"/>
          <w:szCs w:val="22"/>
          <w:lang w:val="el-GR"/>
        </w:rPr>
        <w:t xml:space="preserve">Θα ήθελα, κατ’ αρχήν, να ευχαριστήσω το </w:t>
      </w:r>
      <w:proofErr w:type="spellStart"/>
      <w:r w:rsidRPr="007B7A27">
        <w:rPr>
          <w:sz w:val="22"/>
          <w:szCs w:val="22"/>
          <w:lang w:val="el-GR"/>
        </w:rPr>
        <w:t>Ελληνογερμανικό</w:t>
      </w:r>
      <w:proofErr w:type="spellEnd"/>
      <w:r w:rsidRPr="007B7A27">
        <w:rPr>
          <w:sz w:val="22"/>
          <w:szCs w:val="22"/>
          <w:lang w:val="el-GR"/>
        </w:rPr>
        <w:t xml:space="preserve"> Επιμελητήριο για την πρόσκληση που μου απηύθυνε, προκειμένου να αναφερθώ στις επερχόμενες προκλήσεις για την ελληνική αλλά και την ευρωπαϊκή οικονομία.</w:t>
      </w:r>
    </w:p>
    <w:p w14:paraId="07498B15" w14:textId="77777777" w:rsidR="007B7A27" w:rsidRDefault="007B7A27" w:rsidP="007B7A27">
      <w:pPr>
        <w:spacing w:before="120" w:line="360" w:lineRule="auto"/>
        <w:jc w:val="both"/>
        <w:rPr>
          <w:sz w:val="22"/>
          <w:szCs w:val="22"/>
          <w:lang w:val="el-GR"/>
        </w:rPr>
      </w:pPr>
      <w:r w:rsidRPr="007B7A27">
        <w:rPr>
          <w:sz w:val="22"/>
          <w:szCs w:val="22"/>
          <w:lang w:val="el-GR"/>
        </w:rPr>
        <w:t xml:space="preserve">Η μελλοντική πορεία της Ελλάδας, αλλά και της Γερμανίας, είναι συνυφασμένη με την ευρωπαϊκή ολοκλήρωση και με την πρόοδο που συντελείται στον τομέα αυτόν. Η πορεία προς την ενωμένη Ευρώπη αποτελεί ένα πολιτικό όραμα, καθώς, κατά τον </w:t>
      </w:r>
      <w:proofErr w:type="spellStart"/>
      <w:r w:rsidRPr="007B7A27">
        <w:rPr>
          <w:sz w:val="22"/>
          <w:szCs w:val="22"/>
          <w:lang w:val="el-GR"/>
        </w:rPr>
        <w:t>Jean</w:t>
      </w:r>
      <w:proofErr w:type="spellEnd"/>
      <w:r w:rsidRPr="007B7A27">
        <w:rPr>
          <w:sz w:val="22"/>
          <w:szCs w:val="22"/>
          <w:lang w:val="el-GR"/>
        </w:rPr>
        <w:t xml:space="preserve"> </w:t>
      </w:r>
      <w:proofErr w:type="spellStart"/>
      <w:r w:rsidRPr="007B7A27">
        <w:rPr>
          <w:sz w:val="22"/>
          <w:szCs w:val="22"/>
          <w:lang w:val="el-GR"/>
        </w:rPr>
        <w:t>Monnet</w:t>
      </w:r>
      <w:proofErr w:type="spellEnd"/>
      <w:r w:rsidRPr="007B7A27">
        <w:rPr>
          <w:sz w:val="22"/>
          <w:szCs w:val="22"/>
          <w:lang w:val="el-GR"/>
        </w:rPr>
        <w:t xml:space="preserve">, «δημιουργώντας την Ευρώπη, οι Ευρωπαίοι δημιουργούν ένα αληθινό θεμέλιο για την ειρήνη». Ένας σημαντικός καταλύτης, η κινητήρια δύναμη σ΄ αυτή την πορεία, είναι η Οικονομική και Νομισματική Ένωση (ΟΝΕ) με το κοινό μας νόμισμα, το ευρώ, να αποτελεί το βασικό στοιχείο της ευρωπαϊκής μας ταυτότητας. Όμως, όπως θα δούμε, πρέπει να γίνουν αρκετά ακόμα για την ολοκλήρωση της ΟΝΕ. Άλλωστε, όπως είπε και ο </w:t>
      </w:r>
      <w:proofErr w:type="spellStart"/>
      <w:r w:rsidRPr="007B7A27">
        <w:rPr>
          <w:sz w:val="22"/>
          <w:szCs w:val="22"/>
          <w:lang w:val="el-GR"/>
        </w:rPr>
        <w:t>Goethe</w:t>
      </w:r>
      <w:proofErr w:type="spellEnd"/>
      <w:r w:rsidRPr="007B7A27">
        <w:rPr>
          <w:sz w:val="22"/>
          <w:szCs w:val="22"/>
          <w:lang w:val="el-GR"/>
        </w:rPr>
        <w:t xml:space="preserve"> σε ελεύθερη απόδοση, οι δυσκολίες φαίνεται να μεγαλώ</w:t>
      </w:r>
      <w:r w:rsidR="00D75D85">
        <w:rPr>
          <w:sz w:val="22"/>
          <w:szCs w:val="22"/>
          <w:lang w:val="el-GR"/>
        </w:rPr>
        <w:t xml:space="preserve">νουν όσο προσεγγίζουμε το στόχο </w:t>
      </w:r>
      <w:r w:rsidR="00D75D85">
        <w:rPr>
          <w:rStyle w:val="FootnoteReference"/>
          <w:sz w:val="22"/>
          <w:szCs w:val="22"/>
          <w:lang w:val="el-GR"/>
        </w:rPr>
        <w:footnoteReference w:id="1"/>
      </w:r>
      <w:r w:rsidRPr="007B7A27">
        <w:rPr>
          <w:sz w:val="22"/>
          <w:szCs w:val="22"/>
          <w:lang w:val="el-GR"/>
        </w:rPr>
        <w:t xml:space="preserve">. </w:t>
      </w:r>
    </w:p>
    <w:p w14:paraId="2B694B5E" w14:textId="77777777" w:rsidR="00D75D85" w:rsidRPr="007B7A27" w:rsidRDefault="00D75D85" w:rsidP="007B7A27">
      <w:pPr>
        <w:spacing w:before="120" w:line="360" w:lineRule="auto"/>
        <w:jc w:val="both"/>
        <w:rPr>
          <w:sz w:val="22"/>
          <w:szCs w:val="22"/>
          <w:lang w:val="el-GR"/>
        </w:rPr>
      </w:pPr>
    </w:p>
    <w:p w14:paraId="017D2B78" w14:textId="77777777" w:rsidR="007B7A27" w:rsidRPr="00D75D85" w:rsidRDefault="007B7A27" w:rsidP="007B7A27">
      <w:pPr>
        <w:spacing w:before="120" w:line="360" w:lineRule="auto"/>
        <w:jc w:val="both"/>
        <w:rPr>
          <w:b/>
          <w:sz w:val="22"/>
          <w:szCs w:val="22"/>
          <w:lang w:val="el-GR"/>
        </w:rPr>
      </w:pPr>
      <w:r w:rsidRPr="00D75D85">
        <w:rPr>
          <w:b/>
          <w:sz w:val="22"/>
          <w:szCs w:val="22"/>
          <w:lang w:val="el-GR"/>
        </w:rPr>
        <w:t>Β. Η ελληνική οικονομία</w:t>
      </w:r>
    </w:p>
    <w:p w14:paraId="39F957A9" w14:textId="77777777" w:rsidR="007B7A27" w:rsidRPr="007B7A27" w:rsidRDefault="007B7A27" w:rsidP="007B7A27">
      <w:pPr>
        <w:spacing w:before="120" w:line="360" w:lineRule="auto"/>
        <w:jc w:val="both"/>
        <w:rPr>
          <w:sz w:val="22"/>
          <w:szCs w:val="22"/>
          <w:lang w:val="el-GR"/>
        </w:rPr>
      </w:pPr>
      <w:r w:rsidRPr="007B7A27">
        <w:rPr>
          <w:sz w:val="22"/>
          <w:szCs w:val="22"/>
          <w:lang w:val="el-GR"/>
        </w:rPr>
        <w:t xml:space="preserve">Η ελληνική οικονομία, κατά κοινή ομολογία, έχει σημειώσει αξιοσημείωτη πρόοδο μετά τη μεγάλη κρίση χρέους της προηγούμενης δεκαετίας. Ιδιαιτέρως, μάλιστα, αν ανακαλέσουμε στην μνήμη μας ότι τόσο το 2012 όσο και το 2015 το σενάριο ότι η Ελλάδα δεν θα καταφέρει να παραμείνει στην ευρωζώνη ήταν πολύ δημοφιλές στις αγορές. Σήμερα οι επιδόσεις της ξεπερνούν αυτές του μέσου όρου της ζώνης του ευρώ. Επιτυγχάνει, δηλαδή, ισχυρή μεγέθυνση της οικονομίας της, πραγματική σύγκλιση του επιπέδου ευημερίας της, εφαρμόζει διαρκώς μεταρρυθμίσεις σε πολλούς τομείς, πρωταγωνιστεί στη διαμόρφωση αποφάσεων σε </w:t>
      </w:r>
      <w:r w:rsidRPr="007B7A27">
        <w:rPr>
          <w:sz w:val="22"/>
          <w:szCs w:val="22"/>
          <w:lang w:val="el-GR"/>
        </w:rPr>
        <w:lastRenderedPageBreak/>
        <w:t xml:space="preserve">ευρωπαϊκό επίπεδο, έχει εμπεδώσει την αξία της δημοσιονομικής υπευθυνότητας και αποπληρώνει  το δημόσιο χρέος της, η δυναμική του οποίου θεωρείται βιώσιμη και ανθεκτική σε αρνητικές διαταραχές. Με αυτό τον τρόπο, η χώρα έχει ανακτήσει μεγάλο μέρος της αξιοπιστίας της, πολλές φορές, μάλιστα, προβάλλοντας ως παράδειγμα αποτελεσματικότητας, όπως έχει δείξει η εμπειρία της απορρόφησης των κονδυλίων του Ταμείου Ανάκαμψης και Ανθεκτικότητας. Βεβαίως υπάρχουν ακόμη χρονίζοντα διαρθρωτικά προβλήματα τα οποία ευθύνονται για τη σχετικά χαμηλή κατάταξη της χώρας στους διεθνείς δείκτες διαρθρωτικής ανταγωνιστικότητας παρά την πρόοδο των τελευταίων ετών, όπως για παράδειγμα, οι καθυστερήσεις στην απονομή της Δικαιοσύνης, η ανθεκτικότητα της γραφειοκρατίας σε ορισμένους ακόμα τομείς της Δημόσιας Διοίκησης, οι καθυστερήσεις στη δημιουργία εθνικού κτηματολογίου, η σχετικά μικρή συμμετοχή των γυναικών στο εργατικό δυναμικό, η έλλειψη εργατικών χεριών σε σημαντικούς κλάδους της οικονομίας (παράλληλα με υψηλό ποσοστό ανεργίας), η ανθεκτικότητα της φοροδιαφυγής, ορισμένα κενά στο λεγόμενο “τρίγωνο της γνώσης” (δημόσια εκπαίδευση- έρευνα- καινοτομία), που όμως συνυπάρχει με ένα πολύ υψηλού επιπέδου ακαδημαϊκό και ερευνητικό δυναμικό, και οι </w:t>
      </w:r>
      <w:proofErr w:type="spellStart"/>
      <w:r w:rsidRPr="007B7A27">
        <w:rPr>
          <w:sz w:val="22"/>
          <w:szCs w:val="22"/>
          <w:lang w:val="el-GR"/>
        </w:rPr>
        <w:t>οιονεί</w:t>
      </w:r>
      <w:proofErr w:type="spellEnd"/>
      <w:r w:rsidRPr="007B7A27">
        <w:rPr>
          <w:sz w:val="22"/>
          <w:szCs w:val="22"/>
          <w:lang w:val="el-GR"/>
        </w:rPr>
        <w:t xml:space="preserve"> </w:t>
      </w:r>
      <w:proofErr w:type="spellStart"/>
      <w:r w:rsidRPr="007B7A27">
        <w:rPr>
          <w:sz w:val="22"/>
          <w:szCs w:val="22"/>
          <w:lang w:val="el-GR"/>
        </w:rPr>
        <w:t>ολιγοπωλιακές</w:t>
      </w:r>
      <w:proofErr w:type="spellEnd"/>
      <w:r w:rsidRPr="007B7A27">
        <w:rPr>
          <w:sz w:val="22"/>
          <w:szCs w:val="22"/>
          <w:lang w:val="el-GR"/>
        </w:rPr>
        <w:t xml:space="preserve"> συνθήκες σε συγκεκριμένες αγορές αγαθών και υπηρεσιών. Σε γενικές γραμμές όμως, η αντιμετώπιση των περισσότερων από αυτές τις προκλήσεις έχει ήδη δρομολογηθεί, ενώ οι πλείστες όσες μεταρρυθμίσεις των προηγούμενων ετών έχουν διορθώσει σε σημαντικό βαθμό τις ατέλειες της ελληνικής οικονομίας, και ιδιαίτερα τα δημοσιονομικά προβλήματα, τα προβλήματα ανταγωνιστικότητας σε όρους σχετικού κόστους εργασίας και σε όρους σχετικών τιμών, τα προβλήματα του ασφαλιστικού συστήματος και τα προβλήματα του ισολογισμού των ελληνικών τραπεζών. </w:t>
      </w:r>
    </w:p>
    <w:p w14:paraId="2DA4C9A9" w14:textId="77777777" w:rsidR="007B7A27" w:rsidRPr="007B7A27" w:rsidRDefault="007B7A27" w:rsidP="007B7A27">
      <w:pPr>
        <w:spacing w:before="120" w:line="360" w:lineRule="auto"/>
        <w:jc w:val="both"/>
        <w:rPr>
          <w:sz w:val="22"/>
          <w:szCs w:val="22"/>
          <w:lang w:val="el-GR"/>
        </w:rPr>
      </w:pPr>
      <w:r w:rsidRPr="007B7A27">
        <w:rPr>
          <w:sz w:val="22"/>
          <w:szCs w:val="22"/>
          <w:lang w:val="el-GR"/>
        </w:rPr>
        <w:t xml:space="preserve">Στο σημερινό δυσμενές οικονομικό περιβάλλον, όπως έχει διαμορφωθεί με την ενεργειακή κρίση και την εισβολή της Ρωσίας στην Ουκρανία, η ελληνική οικονομία εκτιμάται ότι συνέχισε να αναπτύσσεται με υψηλό ρυθμό το 2022, κοντά στο 6%, σε συνέχεια του επίσης πολύ υψηλού ρυθμού το 2021 (8,4%), τροφοδοτούμενη από την ιδιωτική κατανάλωση, τις επενδύσεις και τη μεγάλη άνοδο του τουρισμού και των εσόδων από τη ναυτιλία. Σε αυτό συνέβαλαν βεβαίως και τα μέτρα στήριξης για την ανάσχεση των επιπτώσεων της πανδημίας και της ενεργειακής κρίσης στα νοικοκυριά και στις επιχειρήσεις. Ωστόσο, η αύξηση των τιμών της ενέργειας, η αύξηση των τιμών των ειδών διατροφής, καθώς και η προσαρμογή της νομισματικής πολιτικής σε πιο περιοριστική κατεύθυνση, αναμένεται να οδηγήσουν σε πιο αργό ρυθμό μεγέθυνσης το 2023, κοντά στο 1,5%. Όμως, η αποτελεσματική αξιοποίηση των πόρων του μακροπρόθεσμου προϋπολογισμού της ΕΕ 2021-2027 και του ευρωπαϊκού μέσου ανάκαμψης </w:t>
      </w:r>
      <w:proofErr w:type="spellStart"/>
      <w:r w:rsidRPr="007B7A27">
        <w:rPr>
          <w:sz w:val="22"/>
          <w:szCs w:val="22"/>
          <w:lang w:val="el-GR"/>
        </w:rPr>
        <w:t>NextGenerationEU</w:t>
      </w:r>
      <w:proofErr w:type="spellEnd"/>
      <w:r w:rsidRPr="007B7A27">
        <w:rPr>
          <w:sz w:val="22"/>
          <w:szCs w:val="22"/>
          <w:lang w:val="el-GR"/>
        </w:rPr>
        <w:t xml:space="preserve"> δύναται να μετριάσει τις αρνητικές επιπτώσεις της ενεργειακής κρίσης και της σύσφιγξης της νομισματικής πολιτικής στην οικονομία, οδηγώντας μεσοπρόθεσμα σε ρυθμούς ανάπτυξης κοντά στο 3% το 2024 και το 2025.</w:t>
      </w:r>
    </w:p>
    <w:p w14:paraId="25D9207A" w14:textId="77777777" w:rsidR="007B7A27" w:rsidRPr="007B7A27" w:rsidRDefault="007B7A27" w:rsidP="007B7A27">
      <w:pPr>
        <w:spacing w:before="120" w:line="360" w:lineRule="auto"/>
        <w:jc w:val="both"/>
        <w:rPr>
          <w:sz w:val="22"/>
          <w:szCs w:val="22"/>
          <w:lang w:val="el-GR"/>
        </w:rPr>
      </w:pPr>
      <w:r w:rsidRPr="007B7A27">
        <w:rPr>
          <w:sz w:val="22"/>
          <w:szCs w:val="22"/>
          <w:lang w:val="el-GR"/>
        </w:rPr>
        <w:lastRenderedPageBreak/>
        <w:t xml:space="preserve">Ειδικότερα, οι επενδύσεις αναμένεται να αυξηθούν με πολύ υψηλούς ρυθμούς καθ’ όλη την περίοδο 2023-2025, 10% κατά μέσο όρο, υποστηριζόμενες από τη διατήρηση επαρκούς  ρευστότητας στον τραπεζικό τομέα και από την αξιοποίηση των διαθέσιμων ευρωπαϊκών πόρων. Τα επόμενα χρόνια η Ελλάδα θα λάβει στήριξη ύψους 40 </w:t>
      </w:r>
      <w:proofErr w:type="spellStart"/>
      <w:r w:rsidRPr="007B7A27">
        <w:rPr>
          <w:sz w:val="22"/>
          <w:szCs w:val="22"/>
          <w:lang w:val="el-GR"/>
        </w:rPr>
        <w:t>δισεκ</w:t>
      </w:r>
      <w:proofErr w:type="spellEnd"/>
      <w:r w:rsidRPr="007B7A27">
        <w:rPr>
          <w:sz w:val="22"/>
          <w:szCs w:val="22"/>
          <w:lang w:val="el-GR"/>
        </w:rPr>
        <w:t xml:space="preserve">. ευρώ περίπου από το μακροπρόθεσμο προϋπολογισμό της ΕΕ 2021-2027 και 30 </w:t>
      </w:r>
      <w:proofErr w:type="spellStart"/>
      <w:r w:rsidRPr="007B7A27">
        <w:rPr>
          <w:sz w:val="22"/>
          <w:szCs w:val="22"/>
          <w:lang w:val="el-GR"/>
        </w:rPr>
        <w:t>δισεκ</w:t>
      </w:r>
      <w:proofErr w:type="spellEnd"/>
      <w:r w:rsidRPr="007B7A27">
        <w:rPr>
          <w:sz w:val="22"/>
          <w:szCs w:val="22"/>
          <w:lang w:val="el-GR"/>
        </w:rPr>
        <w:t>. ευρώ από το Μηχανισμό  Ανάκαμψης και Ανθεκτικότητας έως το 2026. Αυτοί  οι πόροι εκτιμάται ότι θα προσελκύσουν επιπρόσθετα ιδιωτικά κεφάλαια. Ταυτόχρονα, αναμένεται η προσέλκυση αυξημένων ξένων άμεσων και έμμεσων επενδύσεων.</w:t>
      </w:r>
    </w:p>
    <w:p w14:paraId="15BFB81F" w14:textId="77777777" w:rsidR="007B7A27" w:rsidRPr="007B7A27" w:rsidRDefault="007B7A27" w:rsidP="007B7A27">
      <w:pPr>
        <w:spacing w:before="120" w:line="360" w:lineRule="auto"/>
        <w:jc w:val="both"/>
        <w:rPr>
          <w:sz w:val="22"/>
          <w:szCs w:val="22"/>
          <w:lang w:val="el-GR"/>
        </w:rPr>
      </w:pPr>
      <w:r w:rsidRPr="007B7A27">
        <w:rPr>
          <w:sz w:val="22"/>
          <w:szCs w:val="22"/>
          <w:lang w:val="el-GR"/>
        </w:rPr>
        <w:t>Οι εξαγωγές αγαθών επέδειξαν ανθεκτικότητα κατά τη διάρκεια της πανδημίας. Μετά από αύξηση κατά 13,8% το 2021, εκτιμάται ότι το 2022 και το 2023 συνέχισαν και συνεχίζουν να αυξάνονται, αν και με αρκετά ηπιότερο ρυθμό, εξαιτίας της αναμενόμενης κάμψης της οικονομικής δραστηριότητας και της επιδείνωσης των προοπτικών στην ευρωζώνη και στην παγκόσμια οικονομία. Οι εξαγωγές υπηρεσιών εκτιμάται ότι ανέκαμψαν σε σημαντικό βαθμό το 2022 και θα κινηθούν ανοδικά και τα επόμενα έτη. Παράλληλα όμως, άνοδο αναμένεται να σημειώσουν και οι εισαγωγές καθ’ όλη την περίοδο 2023-2025, ως αποτέλεσμα της τόνωσης της εγχώριας ζήτησης, ιδίως των επενδύσεων.</w:t>
      </w:r>
    </w:p>
    <w:p w14:paraId="770741E5" w14:textId="77777777" w:rsidR="007B7A27" w:rsidRPr="007B7A27" w:rsidRDefault="007B7A27" w:rsidP="007B7A27">
      <w:pPr>
        <w:spacing w:before="120" w:line="360" w:lineRule="auto"/>
        <w:jc w:val="both"/>
        <w:rPr>
          <w:sz w:val="22"/>
          <w:szCs w:val="22"/>
          <w:lang w:val="el-GR"/>
        </w:rPr>
      </w:pPr>
      <w:r w:rsidRPr="007B7A27">
        <w:rPr>
          <w:sz w:val="22"/>
          <w:szCs w:val="22"/>
          <w:lang w:val="el-GR"/>
        </w:rPr>
        <w:t xml:space="preserve">Η σταδιακή αποκλιμάκωση της ανεργίας και η αύξηση του αριθμού των απασχολουμένων αναμένεται να συνεχιστούν την περίοδο 2023-2025, ως αποτέλεσμα της οικονομικής μεγέθυνσης, η οποία θα υποστηριχθεί από την υλοποίηση του Εθνικού Σχεδίου Ανάκαμψης και Ανθεκτικότητας. </w:t>
      </w:r>
    </w:p>
    <w:p w14:paraId="6C77D6B7" w14:textId="77777777" w:rsidR="007B7A27" w:rsidRPr="007B7A27" w:rsidRDefault="007B7A27" w:rsidP="007B7A27">
      <w:pPr>
        <w:spacing w:before="120" w:line="360" w:lineRule="auto"/>
        <w:jc w:val="both"/>
        <w:rPr>
          <w:sz w:val="22"/>
          <w:szCs w:val="22"/>
          <w:lang w:val="el-GR"/>
        </w:rPr>
      </w:pPr>
      <w:r w:rsidRPr="007B7A27">
        <w:rPr>
          <w:sz w:val="22"/>
          <w:szCs w:val="22"/>
          <w:lang w:val="el-GR"/>
        </w:rPr>
        <w:t xml:space="preserve">Ο πληθωρισμός, βάσει του Εναρμονισμένου Δείκτη Τιμών Καταναλωτή, διαμορφώθηκε, όπως και στην υπόλοιπη ευρωζώνη, σε ιδιαίτερα υψηλό επίπεδο το 2022, συγκεκριμένα στο 9,3%, κυρίως λόγω της ανοδικής πορείας των τιμών των ενεργειακών αγαθών, αλλά και των ανατιμήσεων στα είδη διατροφής. Για το 2023 και το 2024 αναμένεται σταδιακή αποκλιμάκωση, σε 5,8% και 3,6% αντιστοίχως, κυρίως λόγω της αναμενόμενης κάμψης των τιμών της ενέργειας και της αρνητικής επίδρασης της βάσης σύγκρισης. Ο υποκείμενος πληθωρισμός, δηλαδή ο πληθωρισμός που δεν περιλαμβάνει τις μεταβολές στις τιμές των ειδών διατροφής και της ενέργειας, διαμορφώθηκε στο 4,6% το 2022 και εκτιμάται ότι θα παραμείνει εξίσου υψηλός και το 2023, λόγω της ενσωμάτωσης έντονων πληθωριστικών πιέσεων από τις συνιστώσες των μη ενεργειακών βιομηχανικών αγαθών και των υπηρεσιών. </w:t>
      </w:r>
    </w:p>
    <w:p w14:paraId="4C75134E" w14:textId="77777777" w:rsidR="007B7A27" w:rsidRPr="007B7A27" w:rsidRDefault="007B7A27" w:rsidP="007B7A27">
      <w:pPr>
        <w:spacing w:before="120" w:line="360" w:lineRule="auto"/>
        <w:jc w:val="both"/>
        <w:rPr>
          <w:sz w:val="22"/>
          <w:szCs w:val="22"/>
          <w:lang w:val="el-GR"/>
        </w:rPr>
      </w:pPr>
      <w:r w:rsidRPr="007B7A27">
        <w:rPr>
          <w:sz w:val="22"/>
          <w:szCs w:val="22"/>
          <w:lang w:val="el-GR"/>
        </w:rPr>
        <w:t xml:space="preserve">Το χρέος της γενικής κυβέρνησης προβλέπεται να αποκλιμακωθεί από 169% του ΑΕΠ το 2022 σε 160% του ΑΕΠ το 2023, κυρίως λόγω της εκτιμώμενης αύξησης του ονομαστικού ΑΕΠ. Όσον αφορά τη βιωσιμότητα του δημόσιου χρέους, η παρατηρούμενη αύξηση των αποδόσεων των ελληνικών τίτλων λόγω της σύσφιγξης της νομισματικής πολιτικής δεν ανακόπτει την πτωτική τροχιά του. Η ευνοϊκή σύνθεση του δημόσιου χρέους, που αποτελείται κατά περίπου 76% από </w:t>
      </w:r>
      <w:proofErr w:type="spellStart"/>
      <w:r w:rsidRPr="007B7A27">
        <w:rPr>
          <w:sz w:val="22"/>
          <w:szCs w:val="22"/>
          <w:lang w:val="el-GR"/>
        </w:rPr>
        <w:t>μεσομακροπρόθεσμες</w:t>
      </w:r>
      <w:proofErr w:type="spellEnd"/>
      <w:r w:rsidRPr="007B7A27">
        <w:rPr>
          <w:sz w:val="22"/>
          <w:szCs w:val="22"/>
          <w:lang w:val="el-GR"/>
        </w:rPr>
        <w:t xml:space="preserve"> υποχρεώσεις προς τον επίσημο τομέα, η εξαιρετικά ευνοϊκή </w:t>
      </w:r>
      <w:r w:rsidRPr="007B7A27">
        <w:rPr>
          <w:sz w:val="22"/>
          <w:szCs w:val="22"/>
          <w:lang w:val="el-GR"/>
        </w:rPr>
        <w:lastRenderedPageBreak/>
        <w:t xml:space="preserve">διάρθρωση των αποπληρωμών, όπως αυτή έχει διαμορφωθεί στο πλαίσιο των συμφωνιών με τους εταίρους της Ελλάδας και οι πράξεις αντιστάθμισης </w:t>
      </w:r>
      <w:proofErr w:type="spellStart"/>
      <w:r w:rsidRPr="007B7A27">
        <w:rPr>
          <w:sz w:val="22"/>
          <w:szCs w:val="22"/>
          <w:lang w:val="el-GR"/>
        </w:rPr>
        <w:t>επιτοκιακού</w:t>
      </w:r>
      <w:proofErr w:type="spellEnd"/>
      <w:r w:rsidRPr="007B7A27">
        <w:rPr>
          <w:sz w:val="22"/>
          <w:szCs w:val="22"/>
          <w:lang w:val="el-GR"/>
        </w:rPr>
        <w:t xml:space="preserve"> κινδύνου, καθιστούν το χρέος ουσιαστικά ανεπηρέαστο από τις  αυξήσεις του κόστους χρηματοδότησης μεσοπρόθεσμα. Ως εκ τούτου, σύμφωνα με τις </w:t>
      </w:r>
      <w:proofErr w:type="spellStart"/>
      <w:r w:rsidRPr="007B7A27">
        <w:rPr>
          <w:sz w:val="22"/>
          <w:szCs w:val="22"/>
          <w:lang w:val="el-GR"/>
        </w:rPr>
        <w:t>επικαιροποιημένες</w:t>
      </w:r>
      <w:proofErr w:type="spellEnd"/>
      <w:r w:rsidRPr="007B7A27">
        <w:rPr>
          <w:sz w:val="22"/>
          <w:szCs w:val="22"/>
          <w:lang w:val="el-GR"/>
        </w:rPr>
        <w:t xml:space="preserve"> εκτιμήσεις της Τράπεζας της Ελλάδος, παρά την παρατηρούμενη αύξηση των αποδόσεων των ελληνικών τίτλων, οι κίνδυνοι για τη βιωσιμότητα του δημόσιου χρέους παραμένουν περιορισμένοι μεσοπρόθεσμα, υπό τις εξής βέβαια προϋποθέσεις: </w:t>
      </w:r>
      <w:r w:rsidRPr="00D75D85">
        <w:rPr>
          <w:sz w:val="22"/>
          <w:szCs w:val="22"/>
          <w:u w:val="single"/>
          <w:lang w:val="el-GR"/>
        </w:rPr>
        <w:t>Πρώτον</w:t>
      </w:r>
      <w:r w:rsidRPr="007B7A27">
        <w:rPr>
          <w:sz w:val="22"/>
          <w:szCs w:val="22"/>
          <w:lang w:val="el-GR"/>
        </w:rPr>
        <w:t xml:space="preserve">, τα δημοσιονομικά μέτρα που έχουν ληφθεί στο πλαίσιο της πανδημίας και της ενεργειακής κρίσης παραμένουν </w:t>
      </w:r>
      <w:proofErr w:type="spellStart"/>
      <w:r w:rsidRPr="007B7A27">
        <w:rPr>
          <w:sz w:val="22"/>
          <w:szCs w:val="22"/>
          <w:lang w:val="el-GR"/>
        </w:rPr>
        <w:t>στοχευμένα</w:t>
      </w:r>
      <w:proofErr w:type="spellEnd"/>
      <w:r w:rsidRPr="007B7A27">
        <w:rPr>
          <w:sz w:val="22"/>
          <w:szCs w:val="22"/>
          <w:lang w:val="el-GR"/>
        </w:rPr>
        <w:t xml:space="preserve"> και έχουν προσωρινό χαρακτήρα. </w:t>
      </w:r>
      <w:r w:rsidRPr="00D75D85">
        <w:rPr>
          <w:sz w:val="22"/>
          <w:szCs w:val="22"/>
          <w:u w:val="single"/>
          <w:lang w:val="el-GR"/>
        </w:rPr>
        <w:t>Δεύτερον</w:t>
      </w:r>
      <w:r w:rsidRPr="007B7A27">
        <w:rPr>
          <w:sz w:val="22"/>
          <w:szCs w:val="22"/>
          <w:lang w:val="el-GR"/>
        </w:rPr>
        <w:t xml:space="preserve">, η δημοσιονομική πολιτική επιστρέφει σε μόνιμα και διατηρήσιμα πρωτογενή πλεονάσματα από το 2023 και μετά, πλησιάζοντας το 2% του ΑΕΠ, ώστε να καλύπτονται πλήρως οι τόκοι του δημόσιου χρέους. </w:t>
      </w:r>
      <w:r w:rsidRPr="00D75D85">
        <w:rPr>
          <w:sz w:val="22"/>
          <w:szCs w:val="22"/>
          <w:u w:val="single"/>
          <w:lang w:val="el-GR"/>
        </w:rPr>
        <w:t>Τρίτον</w:t>
      </w:r>
      <w:r w:rsidRPr="007B7A27">
        <w:rPr>
          <w:sz w:val="22"/>
          <w:szCs w:val="22"/>
          <w:lang w:val="el-GR"/>
        </w:rPr>
        <w:t xml:space="preserve">, αξιοποιούνται  αποτελεσματικά όλοι ο διαθέσιμοι ευρωπαϊκοί πόροι, συμβάλλοντας καθοριστικά στην κάλυψη του επενδυτικού κενού και ενισχύοντας το δυνητικό ρυθμό ανάπτυξης της οικονομίας.  Ωστόσο, μακροπρόθεσμα, η αβεβαιότητα αυξάνεται  καθώς η σταδιακή </w:t>
      </w:r>
      <w:proofErr w:type="spellStart"/>
      <w:r w:rsidRPr="007B7A27">
        <w:rPr>
          <w:sz w:val="22"/>
          <w:szCs w:val="22"/>
          <w:lang w:val="el-GR"/>
        </w:rPr>
        <w:t>αναχρηματοδότηση</w:t>
      </w:r>
      <w:proofErr w:type="spellEnd"/>
      <w:r w:rsidRPr="007B7A27">
        <w:rPr>
          <w:sz w:val="22"/>
          <w:szCs w:val="22"/>
          <w:lang w:val="el-GR"/>
        </w:rPr>
        <w:t xml:space="preserve"> του συσσωρευμένου χρέους προς τον επίσημο τομέα με όρους αγοράς θα αυξήσει την έκθεση του Ελληνικού Δημοσίου στον </w:t>
      </w:r>
      <w:proofErr w:type="spellStart"/>
      <w:r w:rsidRPr="007B7A27">
        <w:rPr>
          <w:sz w:val="22"/>
          <w:szCs w:val="22"/>
          <w:lang w:val="el-GR"/>
        </w:rPr>
        <w:t>επιτοκιακό</w:t>
      </w:r>
      <w:proofErr w:type="spellEnd"/>
      <w:r w:rsidRPr="007B7A27">
        <w:rPr>
          <w:sz w:val="22"/>
          <w:szCs w:val="22"/>
          <w:lang w:val="el-GR"/>
        </w:rPr>
        <w:t xml:space="preserve"> κίνδυνο και τον κίνδυνο αγοράς, γεγονός που εξαλείφει τα περιθώρια χαλάρωσης όσον αφορά το απαιτούμενο ύψος των πρωτογενών πλεονασμάτων. Επομένως, η επόμενη δεκαετία αποτελεί μοναδικό παράθυρο ευκαιρίας για την ταχεία αποκλιμάκωση του ελληνικού δημόσιου χρέους αφού, παρά τις αυξημένες αποδόσεις των νέων εκδόσεων, μόνο ένα μικρό μερίδιο του χρέους αναμένεται να </w:t>
      </w:r>
      <w:proofErr w:type="spellStart"/>
      <w:r w:rsidRPr="007B7A27">
        <w:rPr>
          <w:sz w:val="22"/>
          <w:szCs w:val="22"/>
          <w:lang w:val="el-GR"/>
        </w:rPr>
        <w:t>αναχρηματοδοτείται</w:t>
      </w:r>
      <w:proofErr w:type="spellEnd"/>
      <w:r w:rsidRPr="007B7A27">
        <w:rPr>
          <w:sz w:val="22"/>
          <w:szCs w:val="22"/>
          <w:lang w:val="el-GR"/>
        </w:rPr>
        <w:t xml:space="preserve"> ετησίως με όρους αγοράς, ενώ σημαντικό μερίδιο των δανείων του επίσημου τομέα έχει αντισταθμιστεί έναντι του </w:t>
      </w:r>
      <w:proofErr w:type="spellStart"/>
      <w:r w:rsidRPr="007B7A27">
        <w:rPr>
          <w:sz w:val="22"/>
          <w:szCs w:val="22"/>
          <w:lang w:val="el-GR"/>
        </w:rPr>
        <w:t>επιτοκιακού</w:t>
      </w:r>
      <w:proofErr w:type="spellEnd"/>
      <w:r w:rsidRPr="007B7A27">
        <w:rPr>
          <w:sz w:val="22"/>
          <w:szCs w:val="22"/>
          <w:lang w:val="el-GR"/>
        </w:rPr>
        <w:t xml:space="preserve"> κινδύνου.   </w:t>
      </w:r>
    </w:p>
    <w:p w14:paraId="427275AC" w14:textId="77777777" w:rsidR="00D75D85" w:rsidRDefault="007B7A27" w:rsidP="007B7A27">
      <w:pPr>
        <w:spacing w:before="120" w:line="360" w:lineRule="auto"/>
        <w:jc w:val="both"/>
        <w:rPr>
          <w:sz w:val="22"/>
          <w:szCs w:val="22"/>
          <w:lang w:val="el-GR"/>
        </w:rPr>
      </w:pPr>
      <w:r w:rsidRPr="007B7A27">
        <w:rPr>
          <w:sz w:val="22"/>
          <w:szCs w:val="22"/>
          <w:lang w:val="el-GR"/>
        </w:rPr>
        <w:t>Στο περιβάλλον και πλαίσιο αυτό, ο απόλυτος προσανατολισμός της οικονομικής και ιδιαίτερα της δημοσιονομικής πολιτικής προς την απόκτηση επενδυτικής βαθμίδας για τα ομόλογα του Ελληνικού Δημοσίου θα πρέπει να αποτελέσει αδιαπραγμάτευτο εθνικό στόχο, καθώς η επίτευξή του θα έχει ευεργετικές επιδράσεις σε όλους τους τομείς της ελληνικής οικονομίας. Η ελληνική οικονομία βρίσκεται πια πολύ κοντά στο στόχο αυτό. Πρόσφατα, και ο οίκος αξιολόγησης “</w:t>
      </w:r>
      <w:proofErr w:type="spellStart"/>
      <w:r w:rsidRPr="007B7A27">
        <w:rPr>
          <w:sz w:val="22"/>
          <w:szCs w:val="22"/>
          <w:lang w:val="el-GR"/>
        </w:rPr>
        <w:t>Fitch</w:t>
      </w:r>
      <w:proofErr w:type="spellEnd"/>
      <w:r w:rsidRPr="007B7A27">
        <w:rPr>
          <w:sz w:val="22"/>
          <w:szCs w:val="22"/>
          <w:lang w:val="el-GR"/>
        </w:rPr>
        <w:t xml:space="preserve"> </w:t>
      </w:r>
      <w:proofErr w:type="spellStart"/>
      <w:r w:rsidRPr="007B7A27">
        <w:rPr>
          <w:sz w:val="22"/>
          <w:szCs w:val="22"/>
          <w:lang w:val="el-GR"/>
        </w:rPr>
        <w:t>Ratings</w:t>
      </w:r>
      <w:proofErr w:type="spellEnd"/>
      <w:r w:rsidRPr="007B7A27">
        <w:rPr>
          <w:sz w:val="22"/>
          <w:szCs w:val="22"/>
          <w:lang w:val="el-GR"/>
        </w:rPr>
        <w:t>” αναβάθμισε τη χώρα, τοποθετώντας την ένα μόλις “σκαλοπάτι” πριν την επενδυτική βαθμίδα. Επρόκειτο για την τρίτη αναβάθμιση της ελληνικής οικονομίας κατά το τελευταίο έτος. Πλέον, τρεις από τους τέσσερις οίκους που είναι επιλέξιμοι από την Ευρωπαϊκή Κεντρική Τράπεζα έχουν τοποθετήσει τη χώρα στο κατώφλι της επενδυτικής βαθμίδας. Δεδομένου μάλιστα ότι το 2023 είναι έτος εθνικών εκλογών, απαιτείται σύμπλευση και συνεννόηση των πολιτικών δυνάμεων, ώστε να υλοποιηθούν οι βασικές δεσμεύσεις της οικονομικής πολιτικής και να διαφυλαχθούν όσα έχει επιτύχει η ελληνική οικονομία την τελευταία δεκαετία.</w:t>
      </w:r>
    </w:p>
    <w:p w14:paraId="3C191543" w14:textId="77777777" w:rsidR="00D75D85" w:rsidRPr="007B7A27" w:rsidRDefault="00D75D85" w:rsidP="007B7A27">
      <w:pPr>
        <w:spacing w:before="120" w:line="360" w:lineRule="auto"/>
        <w:jc w:val="both"/>
        <w:rPr>
          <w:sz w:val="22"/>
          <w:szCs w:val="22"/>
          <w:lang w:val="el-GR"/>
        </w:rPr>
      </w:pPr>
    </w:p>
    <w:p w14:paraId="295173A6" w14:textId="77777777" w:rsidR="007B7A27" w:rsidRPr="00D75D85" w:rsidRDefault="007B7A27" w:rsidP="007B7A27">
      <w:pPr>
        <w:spacing w:before="120" w:line="360" w:lineRule="auto"/>
        <w:jc w:val="both"/>
        <w:rPr>
          <w:b/>
          <w:sz w:val="22"/>
          <w:szCs w:val="22"/>
          <w:lang w:val="el-GR"/>
        </w:rPr>
      </w:pPr>
      <w:r w:rsidRPr="00D75D85">
        <w:rPr>
          <w:b/>
          <w:sz w:val="22"/>
          <w:szCs w:val="22"/>
          <w:lang w:val="el-GR"/>
        </w:rPr>
        <w:lastRenderedPageBreak/>
        <w:t>Γ. Η ευρωπαϊκή ολοκλήρωση</w:t>
      </w:r>
    </w:p>
    <w:p w14:paraId="34CE65A5" w14:textId="77777777" w:rsidR="007B7A27" w:rsidRPr="007B7A27" w:rsidRDefault="007B7A27" w:rsidP="007B7A27">
      <w:pPr>
        <w:spacing w:before="120" w:line="360" w:lineRule="auto"/>
        <w:jc w:val="both"/>
        <w:rPr>
          <w:sz w:val="22"/>
          <w:szCs w:val="22"/>
          <w:lang w:val="el-GR"/>
        </w:rPr>
      </w:pPr>
      <w:r w:rsidRPr="007B7A27">
        <w:rPr>
          <w:sz w:val="22"/>
          <w:szCs w:val="22"/>
          <w:lang w:val="el-GR"/>
        </w:rPr>
        <w:t>Θα ήθελα σήμερα να αναφερθώ στο γενικότερο πλαίσιο της οικονομικής διακυβέρνησης (</w:t>
      </w:r>
      <w:proofErr w:type="spellStart"/>
      <w:r w:rsidRPr="007B7A27">
        <w:rPr>
          <w:sz w:val="22"/>
          <w:szCs w:val="22"/>
          <w:lang w:val="el-GR"/>
        </w:rPr>
        <w:t>governance</w:t>
      </w:r>
      <w:proofErr w:type="spellEnd"/>
      <w:r w:rsidRPr="007B7A27">
        <w:rPr>
          <w:sz w:val="22"/>
          <w:szCs w:val="22"/>
          <w:lang w:val="el-GR"/>
        </w:rPr>
        <w:t xml:space="preserve">) της ευρωζώνης, και όχι τόσο στις πρόσφατες μακροοικονομικές εξελίξεις. Αυτές είναι λίγο-πολύ γνωστές, με τα τελευταία στοιχεία να δείχνουν μία ορατή αποκλιμάκωση του πληθωρισμού και μια μικρή ενίσχυση της οικονομικής δραστηριότητας, επιτρέποντας μεγαλύτερη αισιοδοξία, τόσο σε σχέση με τις τελευταίες επίσημες προβλέψεις του </w:t>
      </w:r>
      <w:proofErr w:type="spellStart"/>
      <w:r w:rsidRPr="007B7A27">
        <w:rPr>
          <w:sz w:val="22"/>
          <w:szCs w:val="22"/>
          <w:lang w:val="el-GR"/>
        </w:rPr>
        <w:t>Ευρωσυστήματος</w:t>
      </w:r>
      <w:proofErr w:type="spellEnd"/>
      <w:r w:rsidRPr="007B7A27">
        <w:rPr>
          <w:sz w:val="22"/>
          <w:szCs w:val="22"/>
          <w:lang w:val="el-GR"/>
        </w:rPr>
        <w:t xml:space="preserve"> το Δεκέμβριο, όσο και για την πιθανότητα να μην χρειαστούν τελικά αυξήσεις των βασικών επιτοκίων της ΕΚΤ σε επίπεδο που πιθανόν να προκαλούσαν «σκληρή» προσγείωση της οικονομίας της ευρωζώνης προκειμένου να τιθασευτεί ο πληθωρισμός. Οι επόμενες κινήσεις της ΕΚΤ θα εξαρτηθούν κυρίως από τη δυναμική πορεία του πληθωρισμού, όπως αυτή θα αποτυπωθεί στις προβλέψεις της του Μαρτίου. Ήδη οι τελευταίες προβλέψεις της Ευρωπαϊκής Επιτροπής αντανακλούν τα βελτιωμένα στοιχεία για τον πληθωρισμό και την οικονομική ανάπτυξη στην ευρωζώνη.</w:t>
      </w:r>
    </w:p>
    <w:p w14:paraId="6D1E4993" w14:textId="77777777" w:rsidR="007B7A27" w:rsidRPr="007B7A27" w:rsidRDefault="007B7A27" w:rsidP="007B7A27">
      <w:pPr>
        <w:spacing w:before="120" w:line="360" w:lineRule="auto"/>
        <w:jc w:val="both"/>
        <w:rPr>
          <w:sz w:val="22"/>
          <w:szCs w:val="22"/>
          <w:lang w:val="el-GR"/>
        </w:rPr>
      </w:pPr>
      <w:r w:rsidRPr="007B7A27">
        <w:rPr>
          <w:sz w:val="22"/>
          <w:szCs w:val="22"/>
          <w:lang w:val="el-GR"/>
        </w:rPr>
        <w:t xml:space="preserve">Οι προοπτικές της ελληνικής οικονομίας συναρτώνται βεβαίως και με τις εξελίξεις στην ευρωπαϊκή ολοκλήρωση. Η Ευρωπαϊκή Ένωση έχει πραγματοποιήσει, παρά τις όποιες οπισθοδρομήσεις και αστοχίες, μεγάλη πρόοδο. Η πρόοδος αυτή πιστοποιείται κυρίως από το γεγονός ότι τα αρχικά έξι μέλη είναι σήμερα είκοσι επτά, είκοσι εκ των οποίων μοιράζονται το ίδιο νόμισμα, το ευρώ, ενώ μια σειρά από ευρωπαϊκές χώρες προσδοκούν να γίνουν και αυτές μέλη του ευρωπαϊκού οικοδομήματος. Το ευρώ ήταν αναμφισβήτητα η σημαντικότερη και η πλέον επιτυχημένη κίνηση προς την ευρωπαϊκή ενοποίηση. Το </w:t>
      </w:r>
      <w:proofErr w:type="spellStart"/>
      <w:r w:rsidRPr="007B7A27">
        <w:rPr>
          <w:sz w:val="22"/>
          <w:szCs w:val="22"/>
          <w:lang w:val="el-GR"/>
        </w:rPr>
        <w:t>Brexit</w:t>
      </w:r>
      <w:proofErr w:type="spellEnd"/>
      <w:r w:rsidRPr="007B7A27">
        <w:rPr>
          <w:sz w:val="22"/>
          <w:szCs w:val="22"/>
          <w:lang w:val="el-GR"/>
        </w:rPr>
        <w:t xml:space="preserve"> ήταν – δυστυχώς – η εξαίρεση που επιβεβαιώνει τον κανόνα!</w:t>
      </w:r>
    </w:p>
    <w:p w14:paraId="3DF9760D" w14:textId="77777777" w:rsidR="007B7A27" w:rsidRPr="007B7A27" w:rsidRDefault="007B7A27" w:rsidP="007B7A27">
      <w:pPr>
        <w:spacing w:before="120" w:line="360" w:lineRule="auto"/>
        <w:jc w:val="both"/>
        <w:rPr>
          <w:sz w:val="22"/>
          <w:szCs w:val="22"/>
          <w:lang w:val="el-GR"/>
        </w:rPr>
      </w:pPr>
      <w:r w:rsidRPr="007B7A27">
        <w:rPr>
          <w:sz w:val="22"/>
          <w:szCs w:val="22"/>
          <w:lang w:val="el-GR"/>
        </w:rPr>
        <w:t xml:space="preserve">Σήμερα, οι μεγάλες προκλήσεις, σε επίπεδο αρχών, συνίστανται στην εύρεση της χρυσής τομής μεταξύ της συλλογικής κοινής ευρωπαϊκής δράσης και της εθνικής κυριαρχίας των 27 διαφορετικών κρατών-μελών. Η επιλογή μεταξύ της παγκόσμιας κυριαρχίας των αγορών, της εθνικής κυριαρχίας και της δημοκρατίας βρίσκεται στο επίκεντρο των πολιτικών αποφάσεων της Ευρωπαϊκής Ένωσης. Στα αδιέξοδα που πολλές φορές προκαλούνται από τις διαφορετικές απόψεις των κρατών – μελών σε μείζονα ζητήματα όπως η φορολογία, η άμυνα, η εξωτερική πολιτική, το μεταναστευτικό κ.λπ., υπάρχει λύση: Είναι η αντικατάσταση του κανόνα της ομοφωνίας με ειδικές πλειοψηφίες και, βεβαίως, με τη σύμπραξη των προθύμων και ικανών χωρών, στις οποίες θεωρώ αυτονόητη την ηγετική συμμετοχή της Γερμανίας και της Γαλλίας, όπως συνέβαινε, και συνεχίζει να συμβαίνει, από την αρχή της προσπάθειας για την ενοποίηση της Ευρώπης μέχρι σήμερα. Σε επίπεδο πολιτικής, στις μεγάλες προκλήσεις περιλαμβάνονται η αναζήτηση μιας κοινής εξωτερικής και αμυντικής πολιτικής, η εμβάθυνση της δημοκρατίας σε υπερεθνικό ευρωπαϊκό επίπεδο, η διαμόρφωση κοινωνιών χωρίς αποκλεισμούς, η μείωση των ανισοτήτων (οι οποίες επηρεάζουν πλέον άμεσα τις πολιτικές εξελίξεις, εγχώριες και διεθνείς), η ολοκλήρωση της Οικονομικής και Νομισματικής Ένωσης </w:t>
      </w:r>
      <w:r w:rsidRPr="007B7A27">
        <w:rPr>
          <w:sz w:val="22"/>
          <w:szCs w:val="22"/>
          <w:lang w:val="el-GR"/>
        </w:rPr>
        <w:lastRenderedPageBreak/>
        <w:t>(ΟΝΕ), οι υψηλότερες επενδύσεις στην υψηλή τεχνολογία και η μετάβαση στην πράσινη οικονομία.</w:t>
      </w:r>
    </w:p>
    <w:p w14:paraId="2632AF0F" w14:textId="77777777" w:rsidR="007B7A27" w:rsidRPr="007B7A27" w:rsidRDefault="007B7A27" w:rsidP="007B7A27">
      <w:pPr>
        <w:spacing w:before="120" w:line="360" w:lineRule="auto"/>
        <w:jc w:val="both"/>
        <w:rPr>
          <w:sz w:val="22"/>
          <w:szCs w:val="22"/>
          <w:lang w:val="el-GR"/>
        </w:rPr>
      </w:pPr>
      <w:r w:rsidRPr="007B7A27">
        <w:rPr>
          <w:sz w:val="22"/>
          <w:szCs w:val="22"/>
          <w:lang w:val="el-GR"/>
        </w:rPr>
        <w:t xml:space="preserve">Το </w:t>
      </w:r>
      <w:proofErr w:type="spellStart"/>
      <w:r w:rsidRPr="007B7A27">
        <w:rPr>
          <w:sz w:val="22"/>
          <w:szCs w:val="22"/>
          <w:lang w:val="el-GR"/>
        </w:rPr>
        <w:t>διακύβευμα</w:t>
      </w:r>
      <w:proofErr w:type="spellEnd"/>
      <w:r w:rsidRPr="007B7A27">
        <w:rPr>
          <w:sz w:val="22"/>
          <w:szCs w:val="22"/>
          <w:lang w:val="el-GR"/>
        </w:rPr>
        <w:t xml:space="preserve"> είναι αν η Ευρωπαϊκή Ένωση μπορεί να ασκήσει αποτελεσματική πολιτική εξουσία σε έναν </w:t>
      </w:r>
      <w:proofErr w:type="spellStart"/>
      <w:r w:rsidRPr="007B7A27">
        <w:rPr>
          <w:sz w:val="22"/>
          <w:szCs w:val="22"/>
          <w:lang w:val="el-GR"/>
        </w:rPr>
        <w:t>πολυπολικό</w:t>
      </w:r>
      <w:proofErr w:type="spellEnd"/>
      <w:r w:rsidRPr="007B7A27">
        <w:rPr>
          <w:sz w:val="22"/>
          <w:szCs w:val="22"/>
          <w:lang w:val="el-GR"/>
        </w:rPr>
        <w:t xml:space="preserve">, εξαιρετικά ασύμμετρο και ολοένα πιο ασταθή κόσμο, διατηρώντας ταυτόχρονα μια λειτουργική σχέση μεταξύ παγκόσμιων αγορών και κοινωνικών συμβολαίων. Αυτό είναι </w:t>
      </w:r>
      <w:proofErr w:type="spellStart"/>
      <w:r w:rsidRPr="007B7A27">
        <w:rPr>
          <w:sz w:val="22"/>
          <w:szCs w:val="22"/>
          <w:lang w:val="el-GR"/>
        </w:rPr>
        <w:t>διακύβευμα</w:t>
      </w:r>
      <w:proofErr w:type="spellEnd"/>
      <w:r w:rsidRPr="007B7A27">
        <w:rPr>
          <w:sz w:val="22"/>
          <w:szCs w:val="22"/>
          <w:lang w:val="el-GR"/>
        </w:rPr>
        <w:t xml:space="preserve"> υψηλό, και όχι μόνο για την Ευρώπη. Μια Ευρώπη σε παρακμή, μια Ευρώπη που περιθωριοποιείται, δεν θα είναι σε θέση να υπερασπιστεί θεμελιώδη συμφέροντα και αξίες, όπως την ελευθερία και την ασφάλεια των πολιτών της. Αλλά και ο κόσμος ολόκληρος θα είχε να ωφεληθεί πολύ από τη νηφάλια επιρροή μιας σημαντικής δύναμης που λειτουργεί με βάση την ευρεία συναίνεση και το συμβιβασμό. Τον δρόμο θα πρέπει να δείξουν τελικά οι Ευρωπαίοι πολίτες μέσω των θεσμοθετημένων οργάνων τους, με πρωτοπόρες τις πρόθυμες και ικανές χώρες-μέλη της Ευρωπαϊκής Ένωσης. </w:t>
      </w:r>
    </w:p>
    <w:p w14:paraId="0172A03B" w14:textId="77777777" w:rsidR="007B7A27" w:rsidRPr="007B7A27" w:rsidRDefault="007B7A27" w:rsidP="007B7A27">
      <w:pPr>
        <w:spacing w:before="120" w:line="360" w:lineRule="auto"/>
        <w:jc w:val="both"/>
        <w:rPr>
          <w:sz w:val="22"/>
          <w:szCs w:val="22"/>
          <w:lang w:val="el-GR"/>
        </w:rPr>
      </w:pPr>
      <w:r w:rsidRPr="007B7A27">
        <w:rPr>
          <w:sz w:val="22"/>
          <w:szCs w:val="22"/>
          <w:lang w:val="el-GR"/>
        </w:rPr>
        <w:t>Μία από τις μεγαλύτερες προς αντιμετώπιση προκλήσεις αποτελεί η ολοκλήρωση του οικοδομήματος της ΟΝΕ. Η ΟΝΕ είναι μια πλήρης νομισματική ένωση με ενιαίο νόμισμα και μια εκδοτική αρχή, την Ευρωπαϊκή Κεντρική Τράπεζα, αλλά, παρά τα σημαντικά βήματα εξέλιξής της, παραμένει μια ατελής οικονομική ένωση, δηλαδή μια ατελής δημοσιονομική ένωση, μια ατελής τραπεζική ένωση και μια ατελής ένωση κεφαλαιαγορών. Αυτές οι ατέλειες δημιουργούν σοβαρά προβλήματα και φυγόκεντρες δυνάμεις σε περιόδους κρίσεων, ενισχύοντας τις ασυμμετρίες Βορρά-Νότου.</w:t>
      </w:r>
    </w:p>
    <w:p w14:paraId="25799961" w14:textId="77777777" w:rsidR="007B7A27" w:rsidRPr="007B7A27" w:rsidRDefault="007B7A27" w:rsidP="007B7A27">
      <w:pPr>
        <w:spacing w:before="120" w:line="360" w:lineRule="auto"/>
        <w:jc w:val="both"/>
        <w:rPr>
          <w:sz w:val="22"/>
          <w:szCs w:val="22"/>
          <w:lang w:val="el-GR"/>
        </w:rPr>
      </w:pPr>
      <w:r w:rsidRPr="007B7A27">
        <w:rPr>
          <w:sz w:val="22"/>
          <w:szCs w:val="22"/>
          <w:lang w:val="el-GR"/>
        </w:rPr>
        <w:t>Η εισβολή της Ρωσίας στην Ουκρανία έφερε την ευρωπαϊκή και την παγκόσμια οικονομία μπροστά στη μεγαλύτερη πρόκληση από το τέλος του Ψυχρού Πολέμου. Η παγκοσμιοποίηση οπισθοχωρεί. Το αποτέλεσμα είναι η επιβράδυνση των ρυθμών οικονομικής ανάπτυξης και η αύξηση των τιμών. Άνεμοι στασιμοπληθωρισμού πνέουν παντού, ιδιαιτέρως όμως στην Ευρώπη που είναι μεγάλος καθαρός εισαγωγέας ενέργειας, και έχει υποστεί ένα μεγάλο πλήγμα από την, δυσμενή γι’ αυτήν, μεταβολή των όρων εμπορίου. Στην ουσία, είναι σαν να έχει επιβληθεί ένας φόρος στην Ευρώπη από μια άλλη χώρα.</w:t>
      </w:r>
    </w:p>
    <w:p w14:paraId="44FDDC94" w14:textId="77777777" w:rsidR="007B7A27" w:rsidRPr="007B7A27" w:rsidRDefault="007B7A27" w:rsidP="007B7A27">
      <w:pPr>
        <w:spacing w:before="120" w:line="360" w:lineRule="auto"/>
        <w:jc w:val="both"/>
        <w:rPr>
          <w:sz w:val="22"/>
          <w:szCs w:val="22"/>
          <w:lang w:val="el-GR"/>
        </w:rPr>
      </w:pPr>
      <w:r w:rsidRPr="007B7A27">
        <w:rPr>
          <w:sz w:val="22"/>
          <w:szCs w:val="22"/>
          <w:lang w:val="el-GR"/>
        </w:rPr>
        <w:t xml:space="preserve">Ο κόσμος γύρω μας έχει αλλάξει. Οι προβληματισμοί για την ασφάλεια των αλυσίδων αξίας και την ενεργειακή επάρκεια κυριαρχούν, δημιουργώντας την ανάγκη για περιφερειακές λύσεις και αντίβαρα. Αυτό είναι το γνωστό θέμα της ανοιχτής στρατηγικής αυτονομίας, το οποίο συζητείται εκτενώς αυτήν την περίοδο στην ευρωζώνη. </w:t>
      </w:r>
    </w:p>
    <w:p w14:paraId="5A0403E6" w14:textId="77777777" w:rsidR="007B7A27" w:rsidRPr="007B7A27" w:rsidRDefault="007B7A27" w:rsidP="007B7A27">
      <w:pPr>
        <w:spacing w:before="120" w:line="360" w:lineRule="auto"/>
        <w:jc w:val="both"/>
        <w:rPr>
          <w:sz w:val="22"/>
          <w:szCs w:val="22"/>
          <w:lang w:val="el-GR"/>
        </w:rPr>
      </w:pPr>
      <w:r w:rsidRPr="007B7A27">
        <w:rPr>
          <w:sz w:val="22"/>
          <w:szCs w:val="22"/>
          <w:lang w:val="el-GR"/>
        </w:rPr>
        <w:t xml:space="preserve">Μέχρι τώρα οι μεταρρυθμίσεις πραγματοποιούνται κυρίως ως επακόλουθο κρίσεων, όπως η κρίση χρέους και οι τραπεζικές κρίσεις στην Ελλάδα, την Ιρλανδία, την Πορτογαλία, την Ισπανία, την Κύπρο, καθώς και η κρίση της πανδημίας. Οι μεταρρυθμίσεις αυτές καθ’ αυτές είναι μεν ευπρόσδεκτες και απαραίτητες, ερχόμενες όμως με καθυστέρηση υποσκάπτουν το ρόλο της Ευρώπης στη διεθνή σκηνή, αδυνατίζουν την κοινωνική συνοχή και υποκινούν </w:t>
      </w:r>
      <w:r w:rsidRPr="007B7A27">
        <w:rPr>
          <w:sz w:val="22"/>
          <w:szCs w:val="22"/>
          <w:lang w:val="el-GR"/>
        </w:rPr>
        <w:lastRenderedPageBreak/>
        <w:t xml:space="preserve">αντιευρωπαϊκά αισθήματα. Δεν είμαι βέβαιος ότι αντέχουμε είτε οικονομικά είτε κοινωνικά είτε πολιτικά να στηριζόμαστε στους ίδιους μηχανισμούς της εκ των υστέρων αντίδρασης σε κρίσεις. Μια </w:t>
      </w:r>
      <w:proofErr w:type="spellStart"/>
      <w:r w:rsidRPr="007B7A27">
        <w:rPr>
          <w:sz w:val="22"/>
          <w:szCs w:val="22"/>
          <w:lang w:val="el-GR"/>
        </w:rPr>
        <w:t>πολυπολική</w:t>
      </w:r>
      <w:proofErr w:type="spellEnd"/>
      <w:r w:rsidRPr="007B7A27">
        <w:rPr>
          <w:sz w:val="22"/>
          <w:szCs w:val="22"/>
          <w:lang w:val="el-GR"/>
        </w:rPr>
        <w:t xml:space="preserve"> παγκόσμια τάξη υπαγορεύει ότι η Ευρώπη πρέπει να αντιδρά εκ των προτέρων και όχι εκ των υστέρων, ιδιαίτερα σε μια εποχή που η εμφάνιση κρίσεων φαίνεται ότι θα είναι συχνό φαινόμενο. </w:t>
      </w:r>
    </w:p>
    <w:p w14:paraId="671686E3" w14:textId="77777777" w:rsidR="007B7A27" w:rsidRPr="007B7A27" w:rsidRDefault="007B7A27" w:rsidP="007B7A27">
      <w:pPr>
        <w:spacing w:before="120" w:line="360" w:lineRule="auto"/>
        <w:jc w:val="both"/>
        <w:rPr>
          <w:sz w:val="22"/>
          <w:szCs w:val="22"/>
          <w:lang w:val="el-GR"/>
        </w:rPr>
      </w:pPr>
      <w:r w:rsidRPr="007B7A27">
        <w:rPr>
          <w:sz w:val="22"/>
          <w:szCs w:val="22"/>
          <w:lang w:val="el-GR"/>
        </w:rPr>
        <w:t>Σε ορισμένα φλέγοντα επίκαιρα ζητήματα διεθνούς ανταγωνισμού, η Ευρώπη φαίνεται να αντιδρά μάλλον διστακτικά, και δεν αντιμετωπίζει τις ανησυχίες των λιγότερο εύπορων κρατών-μελών. Ως απάντηση στην ανακοίνωση του προγράμματος δαπανών και επιδοτήσεων ‘</w:t>
      </w:r>
      <w:proofErr w:type="spellStart"/>
      <w:r w:rsidRPr="007B7A27">
        <w:rPr>
          <w:sz w:val="22"/>
          <w:szCs w:val="22"/>
          <w:lang w:val="el-GR"/>
        </w:rPr>
        <w:t>Inflation</w:t>
      </w:r>
      <w:proofErr w:type="spellEnd"/>
      <w:r w:rsidRPr="007B7A27">
        <w:rPr>
          <w:sz w:val="22"/>
          <w:szCs w:val="22"/>
          <w:lang w:val="el-GR"/>
        </w:rPr>
        <w:t xml:space="preserve"> </w:t>
      </w:r>
      <w:proofErr w:type="spellStart"/>
      <w:r w:rsidRPr="007B7A27">
        <w:rPr>
          <w:sz w:val="22"/>
          <w:szCs w:val="22"/>
          <w:lang w:val="el-GR"/>
        </w:rPr>
        <w:t>Reduction</w:t>
      </w:r>
      <w:proofErr w:type="spellEnd"/>
      <w:r w:rsidRPr="007B7A27">
        <w:rPr>
          <w:sz w:val="22"/>
          <w:szCs w:val="22"/>
          <w:lang w:val="el-GR"/>
        </w:rPr>
        <w:t xml:space="preserve"> Act’ από τη διακυβέρνηση </w:t>
      </w:r>
      <w:proofErr w:type="spellStart"/>
      <w:r w:rsidRPr="007B7A27">
        <w:rPr>
          <w:sz w:val="22"/>
          <w:szCs w:val="22"/>
          <w:lang w:val="el-GR"/>
        </w:rPr>
        <w:t>Biden</w:t>
      </w:r>
      <w:proofErr w:type="spellEnd"/>
      <w:r w:rsidRPr="007B7A27">
        <w:rPr>
          <w:sz w:val="22"/>
          <w:szCs w:val="22"/>
          <w:lang w:val="el-GR"/>
        </w:rPr>
        <w:t xml:space="preserve">, το οποίο δημιουργεί κίνητρα στις εταιρίες να δραστηριοποιηθούν στις Ηνωμένες Πολιτείες αυξάνοντας τις ανησυχίες για αθέμιτο ανταγωνισμό, η Ευρωπαϊκή Επιτροπή πρόσφατα πρότεινε το λεγόμενο </w:t>
      </w:r>
      <w:proofErr w:type="spellStart"/>
      <w:r w:rsidRPr="007B7A27">
        <w:rPr>
          <w:sz w:val="22"/>
          <w:szCs w:val="22"/>
          <w:lang w:val="el-GR"/>
        </w:rPr>
        <w:t>Green</w:t>
      </w:r>
      <w:proofErr w:type="spellEnd"/>
      <w:r w:rsidRPr="007B7A27">
        <w:rPr>
          <w:sz w:val="22"/>
          <w:szCs w:val="22"/>
          <w:lang w:val="el-GR"/>
        </w:rPr>
        <w:t xml:space="preserve"> </w:t>
      </w:r>
      <w:proofErr w:type="spellStart"/>
      <w:r w:rsidRPr="007B7A27">
        <w:rPr>
          <w:sz w:val="22"/>
          <w:szCs w:val="22"/>
          <w:lang w:val="el-GR"/>
        </w:rPr>
        <w:t>Deal</w:t>
      </w:r>
      <w:proofErr w:type="spellEnd"/>
      <w:r w:rsidRPr="007B7A27">
        <w:rPr>
          <w:sz w:val="22"/>
          <w:szCs w:val="22"/>
          <w:lang w:val="el-GR"/>
        </w:rPr>
        <w:t xml:space="preserve"> Industrial </w:t>
      </w:r>
      <w:proofErr w:type="spellStart"/>
      <w:r w:rsidRPr="007B7A27">
        <w:rPr>
          <w:sz w:val="22"/>
          <w:szCs w:val="22"/>
          <w:lang w:val="el-GR"/>
        </w:rPr>
        <w:t>Plan</w:t>
      </w:r>
      <w:proofErr w:type="spellEnd"/>
      <w:r w:rsidRPr="007B7A27">
        <w:rPr>
          <w:sz w:val="22"/>
          <w:szCs w:val="22"/>
          <w:lang w:val="el-GR"/>
        </w:rPr>
        <w:t xml:space="preserve"> (GDIP). Το σχέδιο αυτό βασίζεται σε τέσσερις πυλώνες: ένα προβλέψιμο και απλουστευμένο ρυθμιστικό περιβάλλον, επιτάχυνση της πρόσβασης στη χρηματοδότηση, ενίσχυση των δεξιοτήτων και ανοιχτό εμπόριο για ανθεκτικές αλυσίδες εφοδιασμού. Ένα βασικό στοιχείο του σχεδίου είναι η χαλάρωση των κανόνων περί κρατικής βοήθειας για την ενίσχυση φιλικών προς το περιβάλλον βιομηχανικών έργων. Ωστόσο, η χαλάρωση των κανόνων περί κρατικής βοήθειας που έλαβε χώρα λόγω της πανδημίας και της ενεργειακής κρίσης έχει ευνοήσει κυρίως τα πλέον εύπορα κράτη-μέλη, εντείνοντας τις ανησυχίες των μικρότερων κρατών-μελών για τη λειτουργία της Ενιαίας Αγοράς. Ωστόσο, για τη χρηματοδότηση του GDIP η Επιτροπή πρότεινε την αξιοποίηση υφιστάμενων πόρων, όπως, για παράδειγμα, από το </w:t>
      </w:r>
      <w:proofErr w:type="spellStart"/>
      <w:r w:rsidRPr="007B7A27">
        <w:rPr>
          <w:sz w:val="22"/>
          <w:szCs w:val="22"/>
          <w:lang w:val="el-GR"/>
        </w:rPr>
        <w:t>RΕPowerEU</w:t>
      </w:r>
      <w:proofErr w:type="spellEnd"/>
      <w:r w:rsidRPr="007B7A27">
        <w:rPr>
          <w:sz w:val="22"/>
          <w:szCs w:val="22"/>
          <w:lang w:val="el-GR"/>
        </w:rPr>
        <w:t xml:space="preserve"> και το </w:t>
      </w:r>
      <w:proofErr w:type="spellStart"/>
      <w:r w:rsidRPr="007B7A27">
        <w:rPr>
          <w:sz w:val="22"/>
          <w:szCs w:val="22"/>
          <w:lang w:val="el-GR"/>
        </w:rPr>
        <w:t>InvestEU</w:t>
      </w:r>
      <w:proofErr w:type="spellEnd"/>
      <w:r w:rsidRPr="007B7A27">
        <w:rPr>
          <w:sz w:val="22"/>
          <w:szCs w:val="22"/>
          <w:lang w:val="el-GR"/>
        </w:rPr>
        <w:t xml:space="preserve">, ενώ η σύσταση ενός νέου κοινού Ευρωπαϊκού Ταμείου (European </w:t>
      </w:r>
      <w:proofErr w:type="spellStart"/>
      <w:r w:rsidRPr="007B7A27">
        <w:rPr>
          <w:sz w:val="22"/>
          <w:szCs w:val="22"/>
          <w:lang w:val="el-GR"/>
        </w:rPr>
        <w:t>Sovereignty</w:t>
      </w:r>
      <w:proofErr w:type="spellEnd"/>
      <w:r w:rsidRPr="007B7A27">
        <w:rPr>
          <w:sz w:val="22"/>
          <w:szCs w:val="22"/>
          <w:lang w:val="el-GR"/>
        </w:rPr>
        <w:t xml:space="preserve"> Fund) για τη συλλογική χρηματοδότηση έργων σε κρίσιμες και αναδυόμενες τεχνολογίες, το οποίο θα στήριζε και τις λιγότερο εύπορες και όχι τόσο τεχνολογικά εξελιγμένες χώρες, θα εξεταστεί μελλοντικά. Αυτό οφείλεται κυρίως στην αντίδραση ορισμένων κρατών-μελών σε μια νέα πρωτοβουλία που θα περιλαμβάνει κοινό δανεισμό σε επίπεδο Ευρωπαϊκής Ένωσης (ΕΕ) προτού εξαντληθούν τα διαθέσιμα κονδύλια του </w:t>
      </w:r>
      <w:proofErr w:type="spellStart"/>
      <w:r w:rsidRPr="007B7A27">
        <w:rPr>
          <w:sz w:val="22"/>
          <w:szCs w:val="22"/>
          <w:lang w:val="el-GR"/>
        </w:rPr>
        <w:t>NextGenerationEU</w:t>
      </w:r>
      <w:proofErr w:type="spellEnd"/>
      <w:r w:rsidRPr="007B7A27">
        <w:rPr>
          <w:sz w:val="22"/>
          <w:szCs w:val="22"/>
          <w:lang w:val="el-GR"/>
        </w:rPr>
        <w:t xml:space="preserve">. </w:t>
      </w:r>
    </w:p>
    <w:p w14:paraId="6641A7BA" w14:textId="77777777" w:rsidR="007B7A27" w:rsidRPr="007B7A27" w:rsidRDefault="007B7A27" w:rsidP="007B7A27">
      <w:pPr>
        <w:spacing w:before="120" w:line="360" w:lineRule="auto"/>
        <w:jc w:val="both"/>
        <w:rPr>
          <w:sz w:val="22"/>
          <w:szCs w:val="22"/>
          <w:lang w:val="el-GR"/>
        </w:rPr>
      </w:pPr>
      <w:r w:rsidRPr="007B7A27">
        <w:rPr>
          <w:sz w:val="22"/>
          <w:szCs w:val="22"/>
          <w:lang w:val="el-GR"/>
        </w:rPr>
        <w:t xml:space="preserve">Δεν υπάρχει αμφιβολία ότι σημαντικές αλλαγές και μεταρρυθμίσεις έχουν πραγματοποιηθεί στο οικοδόμημα της ΟΝΕ από τότε που ξέσπασε η μεγάλη χρηματοοικονομική κρίση του 2008 μέχρι σήμερα, ή ως αποτέλεσμα της κρίσης για να ακριβολογώ. Πολλές φορές αισθάνομαι ότι η ελληνική κρίση χρέους του 2010 λειτούργησε ως μαμή της ιστορίας για όλες αυτές τις απαραίτητες αλλαγές και μεταρρυθμίσεις. Θα μου επιτρέψετε να τις θυμίσω:  </w:t>
      </w:r>
    </w:p>
    <w:p w14:paraId="7FCC6EAC" w14:textId="77777777" w:rsidR="007B7A27" w:rsidRPr="007B7A27" w:rsidRDefault="007B7A27" w:rsidP="007B7A27">
      <w:pPr>
        <w:spacing w:before="120" w:line="360" w:lineRule="auto"/>
        <w:jc w:val="both"/>
        <w:rPr>
          <w:sz w:val="22"/>
          <w:szCs w:val="22"/>
          <w:lang w:val="el-GR"/>
        </w:rPr>
      </w:pPr>
      <w:r w:rsidRPr="007B7A27">
        <w:rPr>
          <w:sz w:val="22"/>
          <w:szCs w:val="22"/>
          <w:lang w:val="el-GR"/>
        </w:rPr>
        <w:t>1.</w:t>
      </w:r>
      <w:r w:rsidRPr="007B7A27">
        <w:rPr>
          <w:sz w:val="22"/>
          <w:szCs w:val="22"/>
          <w:lang w:val="el-GR"/>
        </w:rPr>
        <w:tab/>
        <w:t>Η μεταρρύθμιση του Συμφώνου Σταθερότητας και Ανάπτυξης μεταξύ 2011 και 2013.</w:t>
      </w:r>
    </w:p>
    <w:p w14:paraId="60BEB019" w14:textId="77777777" w:rsidR="007B7A27" w:rsidRPr="007B7A27" w:rsidRDefault="007B7A27" w:rsidP="007B7A27">
      <w:pPr>
        <w:spacing w:before="120" w:line="360" w:lineRule="auto"/>
        <w:jc w:val="both"/>
        <w:rPr>
          <w:sz w:val="22"/>
          <w:szCs w:val="22"/>
          <w:lang w:val="el-GR"/>
        </w:rPr>
      </w:pPr>
      <w:r w:rsidRPr="007B7A27">
        <w:rPr>
          <w:sz w:val="22"/>
          <w:szCs w:val="22"/>
          <w:lang w:val="el-GR"/>
        </w:rPr>
        <w:t>2.</w:t>
      </w:r>
      <w:r w:rsidRPr="007B7A27">
        <w:rPr>
          <w:sz w:val="22"/>
          <w:szCs w:val="22"/>
          <w:lang w:val="el-GR"/>
        </w:rPr>
        <w:tab/>
        <w:t xml:space="preserve">Η δημιουργία δύο βασικών πυλώνων της Τραπεζικής Ένωσης (Ενιαίος Εποπτικός Μηχανισμός το 2014 και Ενιαίος Μηχανισμός Εξυγίανσης το 2016). </w:t>
      </w:r>
    </w:p>
    <w:p w14:paraId="0E76936A" w14:textId="77777777" w:rsidR="007B7A27" w:rsidRPr="007B7A27" w:rsidRDefault="007B7A27" w:rsidP="007B7A27">
      <w:pPr>
        <w:spacing w:before="120" w:line="360" w:lineRule="auto"/>
        <w:jc w:val="both"/>
        <w:rPr>
          <w:sz w:val="22"/>
          <w:szCs w:val="22"/>
          <w:lang w:val="el-GR"/>
        </w:rPr>
      </w:pPr>
      <w:r w:rsidRPr="007B7A27">
        <w:rPr>
          <w:sz w:val="22"/>
          <w:szCs w:val="22"/>
          <w:lang w:val="el-GR"/>
        </w:rPr>
        <w:lastRenderedPageBreak/>
        <w:t>3.</w:t>
      </w:r>
      <w:r w:rsidRPr="007B7A27">
        <w:rPr>
          <w:sz w:val="22"/>
          <w:szCs w:val="22"/>
          <w:lang w:val="el-GR"/>
        </w:rPr>
        <w:tab/>
        <w:t xml:space="preserve">Η δημιουργία του Ευρωπαϊκού Ταμείου Χρηματοπιστωτικής Σταθερότητας το 2010 και του διαδόχου του Ευρωπαϊκού Μηχανισμού Σταθερότητας το 2012. </w:t>
      </w:r>
    </w:p>
    <w:p w14:paraId="7602054C" w14:textId="77777777" w:rsidR="007B7A27" w:rsidRPr="007B7A27" w:rsidRDefault="007B7A27" w:rsidP="007B7A27">
      <w:pPr>
        <w:spacing w:before="120" w:line="360" w:lineRule="auto"/>
        <w:jc w:val="both"/>
        <w:rPr>
          <w:sz w:val="22"/>
          <w:szCs w:val="22"/>
          <w:lang w:val="el-GR"/>
        </w:rPr>
      </w:pPr>
      <w:r w:rsidRPr="007B7A27">
        <w:rPr>
          <w:sz w:val="22"/>
          <w:szCs w:val="22"/>
          <w:lang w:val="el-GR"/>
        </w:rPr>
        <w:t>4.</w:t>
      </w:r>
      <w:r w:rsidRPr="007B7A27">
        <w:rPr>
          <w:sz w:val="22"/>
          <w:szCs w:val="22"/>
          <w:lang w:val="el-GR"/>
        </w:rPr>
        <w:tab/>
        <w:t xml:space="preserve">Η τροποποίηση της Συνθήκης του Ευρωπαϊκού Μηχανισμού Σταθερότητας το 2021. </w:t>
      </w:r>
    </w:p>
    <w:p w14:paraId="469232DD" w14:textId="77777777" w:rsidR="007B7A27" w:rsidRPr="007B7A27" w:rsidRDefault="007B7A27" w:rsidP="007B7A27">
      <w:pPr>
        <w:spacing w:before="120" w:line="360" w:lineRule="auto"/>
        <w:jc w:val="both"/>
        <w:rPr>
          <w:sz w:val="22"/>
          <w:szCs w:val="22"/>
          <w:lang w:val="el-GR"/>
        </w:rPr>
      </w:pPr>
      <w:r w:rsidRPr="007B7A27">
        <w:rPr>
          <w:sz w:val="22"/>
          <w:szCs w:val="22"/>
          <w:lang w:val="el-GR"/>
        </w:rPr>
        <w:t>5.</w:t>
      </w:r>
      <w:r w:rsidRPr="007B7A27">
        <w:rPr>
          <w:sz w:val="22"/>
          <w:szCs w:val="22"/>
          <w:lang w:val="el-GR"/>
        </w:rPr>
        <w:tab/>
        <w:t>Η χρήση νέων μέτρων – συμβατικών ή μη – νομισματικής πολιτικής από την ΕΚΤ α) για την αντιμετώπιση των συνεπειών για τη σταθερότητα του ευρώ και β) για τη διασφάλιση της ομαλής μετάδοσης της νομισματικής πολιτικής, κατά την κρίση χρέους, αλλά και κατά τη διάρκεια της πανδημίας και του πολέμου στην Ουκρανία.</w:t>
      </w:r>
    </w:p>
    <w:p w14:paraId="71B624AB" w14:textId="77777777" w:rsidR="007B7A27" w:rsidRPr="007B7A27" w:rsidRDefault="007B7A27" w:rsidP="007B7A27">
      <w:pPr>
        <w:spacing w:before="120" w:line="360" w:lineRule="auto"/>
        <w:jc w:val="both"/>
        <w:rPr>
          <w:sz w:val="22"/>
          <w:szCs w:val="22"/>
          <w:lang w:val="el-GR"/>
        </w:rPr>
      </w:pPr>
      <w:r w:rsidRPr="007B7A27">
        <w:rPr>
          <w:sz w:val="22"/>
          <w:szCs w:val="22"/>
          <w:lang w:val="el-GR"/>
        </w:rPr>
        <w:t xml:space="preserve">Όμως, αυτά δεν είναι πλέον αρκετά. Εξάντλησαν τη δυναμική τους. Έχει έλθει η στιγμή για τολμηρές αποφάσεις, τόσο στον τομέα της τραπεζικής ένωσης, όσο και στον δημοσιονομικό τομέα, που πρέπει να ληφθούν τώρα, πριν την επόμενη μεγάλη, και ίσως μοιραία, δημοσιονομική ή/και χρηματοοικονομική κρίση.  </w:t>
      </w:r>
    </w:p>
    <w:p w14:paraId="73A9B2E6" w14:textId="77777777" w:rsidR="007B7A27" w:rsidRPr="007B7A27" w:rsidRDefault="007B7A27" w:rsidP="007B7A27">
      <w:pPr>
        <w:spacing w:before="120" w:line="360" w:lineRule="auto"/>
        <w:jc w:val="both"/>
        <w:rPr>
          <w:sz w:val="22"/>
          <w:szCs w:val="22"/>
          <w:lang w:val="el-GR"/>
        </w:rPr>
      </w:pPr>
      <w:r w:rsidRPr="007B7A27">
        <w:rPr>
          <w:sz w:val="22"/>
          <w:szCs w:val="22"/>
          <w:lang w:val="el-GR"/>
        </w:rPr>
        <w:t>Όπως ήδη ανέφερα, η ευρωζώνη είναι μια πλήρης νομισματική ένωση, αλλά είναι ακόμα μια ατελής δημοσιονομική και τραπεζική ένωση, καθώς και μια ατελής ένωση κεφαλαιαγορών. Αυτή η ατέλεια σε περιόδους κρίσης και αβεβαιότητας, όπως η σημερινή που οφείλεται στην εισβολή της Ρωσίας στην Ουκρανία και στο συνεχιζόμενο πόλεμο, δημιουργεί, μεταξύ άλλων, και εμπόδια (</w:t>
      </w:r>
      <w:proofErr w:type="spellStart"/>
      <w:r w:rsidRPr="007B7A27">
        <w:rPr>
          <w:sz w:val="22"/>
          <w:szCs w:val="22"/>
          <w:lang w:val="el-GR"/>
        </w:rPr>
        <w:t>financial</w:t>
      </w:r>
      <w:proofErr w:type="spellEnd"/>
      <w:r w:rsidRPr="007B7A27">
        <w:rPr>
          <w:sz w:val="22"/>
          <w:szCs w:val="22"/>
          <w:lang w:val="el-GR"/>
        </w:rPr>
        <w:t xml:space="preserve"> </w:t>
      </w:r>
      <w:proofErr w:type="spellStart"/>
      <w:r w:rsidRPr="007B7A27">
        <w:rPr>
          <w:sz w:val="22"/>
          <w:szCs w:val="22"/>
          <w:lang w:val="el-GR"/>
        </w:rPr>
        <w:t>fragmentation</w:t>
      </w:r>
      <w:proofErr w:type="spellEnd"/>
      <w:r w:rsidRPr="007B7A27">
        <w:rPr>
          <w:sz w:val="22"/>
          <w:szCs w:val="22"/>
          <w:lang w:val="el-GR"/>
        </w:rPr>
        <w:t xml:space="preserve">) στην ομαλή μετάδοση της νομισματικής πολιτικής σε όλα τα κράτη-μέλη της ευρωζώνης. </w:t>
      </w:r>
    </w:p>
    <w:p w14:paraId="50410848" w14:textId="77777777" w:rsidR="007B7A27" w:rsidRPr="007B7A27" w:rsidRDefault="007B7A27" w:rsidP="007B7A27">
      <w:pPr>
        <w:spacing w:before="120" w:line="360" w:lineRule="auto"/>
        <w:jc w:val="both"/>
        <w:rPr>
          <w:sz w:val="22"/>
          <w:szCs w:val="22"/>
          <w:lang w:val="el-GR"/>
        </w:rPr>
      </w:pPr>
      <w:r w:rsidRPr="007B7A27">
        <w:rPr>
          <w:sz w:val="22"/>
          <w:szCs w:val="22"/>
          <w:lang w:val="el-GR"/>
        </w:rPr>
        <w:t xml:space="preserve">Έτσι, καθίσταται αναγκαίο να συμπληρώσουμε τα στοιχεία που λείπουν από την Τραπεζική Ένωση. Το </w:t>
      </w:r>
      <w:proofErr w:type="spellStart"/>
      <w:r w:rsidRPr="007B7A27">
        <w:rPr>
          <w:sz w:val="22"/>
          <w:szCs w:val="22"/>
          <w:lang w:val="el-GR"/>
        </w:rPr>
        <w:t>Eurogroup</w:t>
      </w:r>
      <w:proofErr w:type="spellEnd"/>
      <w:r w:rsidRPr="007B7A27">
        <w:rPr>
          <w:sz w:val="22"/>
          <w:szCs w:val="22"/>
          <w:lang w:val="el-GR"/>
        </w:rPr>
        <w:t xml:space="preserve"> για παράδειγμα, δεν μπόρεσε μέχρι τώρα να συμφωνήσει ούτε στη δημιουργία ενός πανευρωπαϊκού συστήματος ασφάλισης καταθέσεων, που αποτελεί τον τρίτο πυλώνα της Τραπεζικής Ένωσης, ούτε να ολοκληρώσει το πλαίσιο διαχείρισης τραπεζικών κρίσεων. </w:t>
      </w:r>
    </w:p>
    <w:p w14:paraId="69E78D31" w14:textId="77777777" w:rsidR="007B7A27" w:rsidRPr="007B7A27" w:rsidRDefault="007B7A27" w:rsidP="007B7A27">
      <w:pPr>
        <w:spacing w:before="120" w:line="360" w:lineRule="auto"/>
        <w:jc w:val="both"/>
        <w:rPr>
          <w:sz w:val="22"/>
          <w:szCs w:val="22"/>
          <w:lang w:val="el-GR"/>
        </w:rPr>
      </w:pPr>
      <w:r w:rsidRPr="007B7A27">
        <w:rPr>
          <w:sz w:val="22"/>
          <w:szCs w:val="22"/>
          <w:lang w:val="el-GR"/>
        </w:rPr>
        <w:t>Ο λόγος για τον οποίο τα κράτη-μέλη της ευρωζώνης δεν έχουν συμφωνήσει μέχρι τώρα να ολοκληρώσουν την τραπεζική ένωση, έχει κυρίως να κάνει με ένα βασικό δίλημμα: τα μέτρα μείωσης των χρηματοοικονομικών κινδύνων (</w:t>
      </w:r>
      <w:proofErr w:type="spellStart"/>
      <w:r w:rsidRPr="007B7A27">
        <w:rPr>
          <w:sz w:val="22"/>
          <w:szCs w:val="22"/>
          <w:lang w:val="el-GR"/>
        </w:rPr>
        <w:t>risk</w:t>
      </w:r>
      <w:proofErr w:type="spellEnd"/>
      <w:r w:rsidRPr="007B7A27">
        <w:rPr>
          <w:sz w:val="22"/>
          <w:szCs w:val="22"/>
          <w:lang w:val="el-GR"/>
        </w:rPr>
        <w:t xml:space="preserve"> </w:t>
      </w:r>
      <w:proofErr w:type="spellStart"/>
      <w:r w:rsidRPr="007B7A27">
        <w:rPr>
          <w:sz w:val="22"/>
          <w:szCs w:val="22"/>
          <w:lang w:val="el-GR"/>
        </w:rPr>
        <w:t>reduction</w:t>
      </w:r>
      <w:proofErr w:type="spellEnd"/>
      <w:r w:rsidRPr="007B7A27">
        <w:rPr>
          <w:sz w:val="22"/>
          <w:szCs w:val="22"/>
          <w:lang w:val="el-GR"/>
        </w:rPr>
        <w:t xml:space="preserve"> </w:t>
      </w:r>
      <w:proofErr w:type="spellStart"/>
      <w:r w:rsidRPr="007B7A27">
        <w:rPr>
          <w:sz w:val="22"/>
          <w:szCs w:val="22"/>
          <w:lang w:val="el-GR"/>
        </w:rPr>
        <w:t>measures</w:t>
      </w:r>
      <w:proofErr w:type="spellEnd"/>
      <w:r w:rsidRPr="007B7A27">
        <w:rPr>
          <w:sz w:val="22"/>
          <w:szCs w:val="22"/>
          <w:lang w:val="el-GR"/>
        </w:rPr>
        <w:t>) πρέπει να προηγούνται ή να έπονται των μέτρων επιμερισμού των κινδύνων (</w:t>
      </w:r>
      <w:proofErr w:type="spellStart"/>
      <w:r w:rsidRPr="007B7A27">
        <w:rPr>
          <w:sz w:val="22"/>
          <w:szCs w:val="22"/>
          <w:lang w:val="el-GR"/>
        </w:rPr>
        <w:t>risk</w:t>
      </w:r>
      <w:proofErr w:type="spellEnd"/>
      <w:r w:rsidRPr="007B7A27">
        <w:rPr>
          <w:sz w:val="22"/>
          <w:szCs w:val="22"/>
          <w:lang w:val="el-GR"/>
        </w:rPr>
        <w:t xml:space="preserve"> </w:t>
      </w:r>
      <w:proofErr w:type="spellStart"/>
      <w:r w:rsidRPr="007B7A27">
        <w:rPr>
          <w:sz w:val="22"/>
          <w:szCs w:val="22"/>
          <w:lang w:val="el-GR"/>
        </w:rPr>
        <w:t>sharing</w:t>
      </w:r>
      <w:proofErr w:type="spellEnd"/>
      <w:r w:rsidRPr="007B7A27">
        <w:rPr>
          <w:sz w:val="22"/>
          <w:szCs w:val="22"/>
          <w:lang w:val="el-GR"/>
        </w:rPr>
        <w:t xml:space="preserve"> </w:t>
      </w:r>
      <w:proofErr w:type="spellStart"/>
      <w:r w:rsidRPr="007B7A27">
        <w:rPr>
          <w:sz w:val="22"/>
          <w:szCs w:val="22"/>
          <w:lang w:val="el-GR"/>
        </w:rPr>
        <w:t>measures</w:t>
      </w:r>
      <w:proofErr w:type="spellEnd"/>
      <w:r w:rsidRPr="007B7A27">
        <w:rPr>
          <w:sz w:val="22"/>
          <w:szCs w:val="22"/>
          <w:lang w:val="el-GR"/>
        </w:rPr>
        <w:t>);</w:t>
      </w:r>
    </w:p>
    <w:p w14:paraId="7320853D" w14:textId="77777777" w:rsidR="007B7A27" w:rsidRPr="007B7A27" w:rsidRDefault="007B7A27" w:rsidP="007B7A27">
      <w:pPr>
        <w:spacing w:before="120" w:line="360" w:lineRule="auto"/>
        <w:jc w:val="both"/>
        <w:rPr>
          <w:sz w:val="22"/>
          <w:szCs w:val="22"/>
          <w:lang w:val="el-GR"/>
        </w:rPr>
      </w:pPr>
      <w:r w:rsidRPr="007B7A27">
        <w:rPr>
          <w:sz w:val="22"/>
          <w:szCs w:val="22"/>
          <w:lang w:val="el-GR"/>
        </w:rPr>
        <w:t>Γιατί όμως δεν θα μπορούσαν τα μέτρα αυτά να ληφθούν ταυτοχρόνως, ενδεχομένως παρέχοντας αρκετό χρονικό διάστημα πριν την εφαρμογή τους; Αυτό θα ήταν μια λύση αμοιβαίως επωφελής για όλους (</w:t>
      </w:r>
      <w:proofErr w:type="spellStart"/>
      <w:r w:rsidRPr="007B7A27">
        <w:rPr>
          <w:sz w:val="22"/>
          <w:szCs w:val="22"/>
          <w:lang w:val="el-GR"/>
        </w:rPr>
        <w:t>win-win</w:t>
      </w:r>
      <w:proofErr w:type="spellEnd"/>
      <w:r w:rsidRPr="007B7A27">
        <w:rPr>
          <w:sz w:val="22"/>
          <w:szCs w:val="22"/>
          <w:lang w:val="el-GR"/>
        </w:rPr>
        <w:t>) και όχι ένα παίγνιο μηδενικού αθροίσματος.</w:t>
      </w:r>
    </w:p>
    <w:p w14:paraId="41A45957" w14:textId="77777777" w:rsidR="007B7A27" w:rsidRPr="007B7A27" w:rsidRDefault="007B7A27" w:rsidP="007B7A27">
      <w:pPr>
        <w:spacing w:before="120" w:line="360" w:lineRule="auto"/>
        <w:jc w:val="both"/>
        <w:rPr>
          <w:sz w:val="22"/>
          <w:szCs w:val="22"/>
          <w:lang w:val="el-GR"/>
        </w:rPr>
      </w:pPr>
      <w:r w:rsidRPr="007B7A27">
        <w:rPr>
          <w:sz w:val="22"/>
          <w:szCs w:val="22"/>
          <w:lang w:val="el-GR"/>
        </w:rPr>
        <w:t xml:space="preserve">Όσον αφορά τις δημοσιονομικές πρωτοβουλίες, έχει έρθει ο χρόνος να αναθεωρήσουμε το δημοσιονομικό πλαίσιο που ενσωματώνεται στο Σύμφωνο Σταθερότητας και Ανάπτυξης. Ήδη  η Ευρωπαϊκή Επιτροπή έχει καταθέσει τις προτάσεις της και είναι, σε γενικές γραμμές, προς τη σωστή κατεύθυνση. Αρκετά κράτη-μέλη έχουν ήδη εκφράσει τις απόψεις τους. Άλλα όμως όχι. Οι στόχοι μας εδώ θα πρέπει να είναι η εξασφάλιση της βιωσιμότητας του δημόσιου χρέους </w:t>
      </w:r>
      <w:r w:rsidRPr="007B7A27">
        <w:rPr>
          <w:sz w:val="22"/>
          <w:szCs w:val="22"/>
          <w:lang w:val="el-GR"/>
        </w:rPr>
        <w:lastRenderedPageBreak/>
        <w:t xml:space="preserve">για όλα τα κράτη-μέλη, η επίτευξη </w:t>
      </w:r>
      <w:proofErr w:type="spellStart"/>
      <w:r w:rsidRPr="007B7A27">
        <w:rPr>
          <w:sz w:val="22"/>
          <w:szCs w:val="22"/>
          <w:lang w:val="el-GR"/>
        </w:rPr>
        <w:t>αντικυκλικότητας</w:t>
      </w:r>
      <w:proofErr w:type="spellEnd"/>
      <w:r w:rsidRPr="007B7A27">
        <w:rPr>
          <w:sz w:val="22"/>
          <w:szCs w:val="22"/>
          <w:lang w:val="el-GR"/>
        </w:rPr>
        <w:t xml:space="preserve"> της δημοσιονομικής πολιτικής, ένας αξιόπιστος και αυτόματος μηχανισμός κυρώσεων σε περίπτωση μη συμμόρφωσης με τους νέους δημοσιονομικούς κανόνες και η δημιουργία ενός κεντρικού δημοσιονομικού εργαλείου για όλα τα κράτη-μέλη της ευρωζώνης, που θα ενεργοποιείται για να αντιμετωπίζει συμμετρικούς κλυδωνισμούς (π.χ. πανδημία, επιπτώσεις πολέμων κτλ.). </w:t>
      </w:r>
    </w:p>
    <w:p w14:paraId="590432E6" w14:textId="77777777" w:rsidR="007B7A27" w:rsidRPr="007B7A27" w:rsidRDefault="007B7A27" w:rsidP="007B7A27">
      <w:pPr>
        <w:spacing w:before="120" w:line="360" w:lineRule="auto"/>
        <w:jc w:val="both"/>
        <w:rPr>
          <w:sz w:val="22"/>
          <w:szCs w:val="22"/>
          <w:lang w:val="el-GR"/>
        </w:rPr>
      </w:pPr>
      <w:r w:rsidRPr="007B7A27">
        <w:rPr>
          <w:sz w:val="22"/>
          <w:szCs w:val="22"/>
          <w:lang w:val="el-GR"/>
        </w:rPr>
        <w:t xml:space="preserve">Αρκετοί, συμπεριλαμβανομένου και του σημερινού Γερμανού καγκελαρίου, </w:t>
      </w:r>
      <w:proofErr w:type="spellStart"/>
      <w:r w:rsidRPr="007B7A27">
        <w:rPr>
          <w:sz w:val="22"/>
          <w:szCs w:val="22"/>
          <w:lang w:val="el-GR"/>
        </w:rPr>
        <w:t>Olaf</w:t>
      </w:r>
      <w:proofErr w:type="spellEnd"/>
      <w:r w:rsidRPr="007B7A27">
        <w:rPr>
          <w:sz w:val="22"/>
          <w:szCs w:val="22"/>
          <w:lang w:val="el-GR"/>
        </w:rPr>
        <w:t xml:space="preserve"> </w:t>
      </w:r>
      <w:proofErr w:type="spellStart"/>
      <w:r w:rsidRPr="007B7A27">
        <w:rPr>
          <w:sz w:val="22"/>
          <w:szCs w:val="22"/>
          <w:lang w:val="el-GR"/>
        </w:rPr>
        <w:t>Scholz</w:t>
      </w:r>
      <w:proofErr w:type="spellEnd"/>
      <w:r w:rsidRPr="007B7A27">
        <w:rPr>
          <w:sz w:val="22"/>
          <w:szCs w:val="22"/>
          <w:lang w:val="el-GR"/>
        </w:rPr>
        <w:t xml:space="preserve">,  έχουν περιγράψει το Ταμείο Ανάκαμψης και Ανθεκτικότητας σαν τη «στιγμή </w:t>
      </w:r>
      <w:proofErr w:type="spellStart"/>
      <w:r w:rsidRPr="007B7A27">
        <w:rPr>
          <w:sz w:val="22"/>
          <w:szCs w:val="22"/>
          <w:lang w:val="el-GR"/>
        </w:rPr>
        <w:t>Hamilton</w:t>
      </w:r>
      <w:proofErr w:type="spellEnd"/>
      <w:r w:rsidRPr="007B7A27">
        <w:rPr>
          <w:sz w:val="22"/>
          <w:szCs w:val="22"/>
          <w:lang w:val="el-GR"/>
        </w:rPr>
        <w:t xml:space="preserve">» για την Ευρώπη. Όμως, αυτό το Ταμείο έγινε για να αντιμετωπίσει μια παροδική κρίση, την πανδημία. Πρέπει να μετατραπεί σε ένα μόνιμο μηχανισμό που να συνδέει την άσκηση δημοσιονομικής πολιτικής στο κέντρο της ευρωζώνης με κατάλληλους κανόνες, προκειμένου να αποφευχθεί ο ηθικός κίνδυνος χαλάρωσης της δημοσιονομικής σταθερότητας σε εθνικό επίπεδο. </w:t>
      </w:r>
    </w:p>
    <w:p w14:paraId="112188A9" w14:textId="77777777" w:rsidR="007B7A27" w:rsidRDefault="007B7A27" w:rsidP="007B7A27">
      <w:pPr>
        <w:spacing w:before="120" w:line="360" w:lineRule="auto"/>
        <w:jc w:val="both"/>
        <w:rPr>
          <w:sz w:val="22"/>
          <w:szCs w:val="22"/>
          <w:lang w:val="el-GR"/>
        </w:rPr>
      </w:pPr>
      <w:r w:rsidRPr="007B7A27">
        <w:rPr>
          <w:sz w:val="22"/>
          <w:szCs w:val="22"/>
          <w:lang w:val="el-GR"/>
        </w:rPr>
        <w:t>Παράλληλα όμως θα πρέπει να γίνει σαφές ότι η δημιουργία μια μόνιμης δημοσιονομικής ικανότητας θα πρέπει απαραίτητα να συνοδεύεται με σημαντικές αλλαγές σε επίπεδο οικονομικής διακυβέρνησης, με τα κράτη-μέλη να χάνουν τον έλεγχο δημοσιονομικών εργαλείων στην άσκηση εθνικής πολιτικής. Οι προτάσεις πολιτικής που αποσκοπούν απλώς στην προσθήκη ενός μόνιμου δημοσιονομικού εργαλείου σε επίπεδο ΕΕ, χωρίς τις αναγκαίες συνοδευτικές μεταρρυθμίσεις διακυβέρνησης, δεν αντιμετωπίζουν το υποκείμενο ζήτημα συνεργασίας και συντονισμού των πολιτικών (ή την έλλειψή τους) μεταξύ των κρατών-μελών της νομισματικής ένωσης. Χωρίς το απαιτούμενο επίπεδο πολιτικής εκπροσώπησης και λογοδοσίας σε επίπεδο ΕΕ, σε συνδυασμό – ιδανικά – με αυστηρότερα όρια στην άσκηση εθνικής διακριτικής δημοσιονομικής πολιτικής, μια κεντρική δημοσιονομική ικανότητα θα παρέμενε άγονη και τελικά θα αποτύχει.</w:t>
      </w:r>
    </w:p>
    <w:p w14:paraId="4E846C79" w14:textId="77777777" w:rsidR="00D75D85" w:rsidRPr="007B7A27" w:rsidRDefault="00D75D85" w:rsidP="007B7A27">
      <w:pPr>
        <w:spacing w:before="120" w:line="360" w:lineRule="auto"/>
        <w:jc w:val="both"/>
        <w:rPr>
          <w:sz w:val="22"/>
          <w:szCs w:val="22"/>
          <w:lang w:val="el-GR"/>
        </w:rPr>
      </w:pPr>
    </w:p>
    <w:p w14:paraId="494236D2" w14:textId="77777777" w:rsidR="007B7A27" w:rsidRPr="00D75D85" w:rsidRDefault="007B7A27" w:rsidP="007B7A27">
      <w:pPr>
        <w:spacing w:before="120" w:line="360" w:lineRule="auto"/>
        <w:jc w:val="both"/>
        <w:rPr>
          <w:b/>
          <w:sz w:val="22"/>
          <w:szCs w:val="22"/>
          <w:lang w:val="el-GR"/>
        </w:rPr>
      </w:pPr>
      <w:r w:rsidRPr="00D75D85">
        <w:rPr>
          <w:b/>
          <w:sz w:val="22"/>
          <w:szCs w:val="22"/>
          <w:lang w:val="el-GR"/>
        </w:rPr>
        <w:t>Δ. Η βελτίωση της οικονομικής διακυβέρνησης της ευρωζώνης</w:t>
      </w:r>
    </w:p>
    <w:p w14:paraId="0C3E0077" w14:textId="77777777" w:rsidR="007B7A27" w:rsidRPr="007B7A27" w:rsidRDefault="007B7A27" w:rsidP="007B7A27">
      <w:pPr>
        <w:spacing w:before="120" w:line="360" w:lineRule="auto"/>
        <w:jc w:val="both"/>
        <w:rPr>
          <w:sz w:val="22"/>
          <w:szCs w:val="22"/>
          <w:lang w:val="el-GR"/>
        </w:rPr>
      </w:pPr>
      <w:r w:rsidRPr="007B7A27">
        <w:rPr>
          <w:sz w:val="22"/>
          <w:szCs w:val="22"/>
          <w:lang w:val="el-GR"/>
        </w:rPr>
        <w:t xml:space="preserve">Δύο βασικά ερωτήματα γεννώνται σχετικά με το μέλλον της οικονομικής διακυβέρνησης της ευρωζώνης: </w:t>
      </w:r>
    </w:p>
    <w:p w14:paraId="41A49778" w14:textId="77777777" w:rsidR="007B7A27" w:rsidRPr="007B7A27" w:rsidRDefault="007B7A27" w:rsidP="007B7A27">
      <w:pPr>
        <w:spacing w:before="120" w:line="360" w:lineRule="auto"/>
        <w:jc w:val="both"/>
        <w:rPr>
          <w:sz w:val="22"/>
          <w:szCs w:val="22"/>
          <w:lang w:val="el-GR"/>
        </w:rPr>
      </w:pPr>
      <w:r w:rsidRPr="007B7A27">
        <w:rPr>
          <w:sz w:val="22"/>
          <w:szCs w:val="22"/>
          <w:lang w:val="el-GR"/>
        </w:rPr>
        <w:t>1.</w:t>
      </w:r>
      <w:r w:rsidRPr="007B7A27">
        <w:rPr>
          <w:sz w:val="22"/>
          <w:szCs w:val="22"/>
          <w:lang w:val="el-GR"/>
        </w:rPr>
        <w:tab/>
        <w:t>Ποιο πλαίσιο οικονομικής διακυβέρνησης μπορεί να καταστήσει την ευρωζώνη πιο ανθεκτική μπροστά στην οξύτατη οικονομική αβεβαιότητα που αντιμετωπίζει σήμερα, τις μεγάλες διαταραχές από την πλευρά της προσφοράς και τα αυξανόμενα δημόσια χρέη;</w:t>
      </w:r>
    </w:p>
    <w:p w14:paraId="62539FF2" w14:textId="77777777" w:rsidR="007B7A27" w:rsidRPr="007B7A27" w:rsidRDefault="007B7A27" w:rsidP="007B7A27">
      <w:pPr>
        <w:spacing w:before="120" w:line="360" w:lineRule="auto"/>
        <w:jc w:val="both"/>
        <w:rPr>
          <w:sz w:val="22"/>
          <w:szCs w:val="22"/>
          <w:lang w:val="el-GR"/>
        </w:rPr>
      </w:pPr>
      <w:r w:rsidRPr="007B7A27">
        <w:rPr>
          <w:sz w:val="22"/>
          <w:szCs w:val="22"/>
          <w:lang w:val="el-GR"/>
        </w:rPr>
        <w:t>2.</w:t>
      </w:r>
      <w:r w:rsidRPr="007B7A27">
        <w:rPr>
          <w:sz w:val="22"/>
          <w:szCs w:val="22"/>
          <w:lang w:val="el-GR"/>
        </w:rPr>
        <w:tab/>
        <w:t>Πώς μπορούμε να βελτιώσουμε την ανταλλακτική σχέση μεταξύ της ανάγκης να εξασφαλίσουμε δημοσιονομική βιωσιμότητα σε όλα τα κράτη-μέλη και της ανάγκης να αντιμετωπίσουμε συμμετρικούς κλυδωνισμούς (και ιδιαίτερα τις προκλήσεις της κλιματικής κρίσης) σε μια περίοδο που η νομισματική πολιτική ομαλοποιείται και τα επιτόκια αυξάνονται;</w:t>
      </w:r>
    </w:p>
    <w:p w14:paraId="3D2C0073" w14:textId="77777777" w:rsidR="007B7A27" w:rsidRPr="007B7A27" w:rsidRDefault="007B7A27" w:rsidP="007B7A27">
      <w:pPr>
        <w:spacing w:before="120" w:line="360" w:lineRule="auto"/>
        <w:jc w:val="both"/>
        <w:rPr>
          <w:sz w:val="22"/>
          <w:szCs w:val="22"/>
          <w:lang w:val="el-GR"/>
        </w:rPr>
      </w:pPr>
      <w:r w:rsidRPr="007B7A27">
        <w:rPr>
          <w:sz w:val="22"/>
          <w:szCs w:val="22"/>
          <w:lang w:val="el-GR"/>
        </w:rPr>
        <w:t>Σε δυο κατευθύνσεις πρέπει να κινηθούν οι μεταρρυθμίσεις μας:</w:t>
      </w:r>
    </w:p>
    <w:p w14:paraId="5C1A0714" w14:textId="77777777" w:rsidR="007B7A27" w:rsidRPr="007B7A27" w:rsidRDefault="007B7A27" w:rsidP="007B7A27">
      <w:pPr>
        <w:spacing w:before="120" w:line="360" w:lineRule="auto"/>
        <w:jc w:val="both"/>
        <w:rPr>
          <w:sz w:val="22"/>
          <w:szCs w:val="22"/>
          <w:lang w:val="el-GR"/>
        </w:rPr>
      </w:pPr>
      <w:r w:rsidRPr="007B7A27">
        <w:rPr>
          <w:sz w:val="22"/>
          <w:szCs w:val="22"/>
          <w:lang w:val="el-GR"/>
        </w:rPr>
        <w:lastRenderedPageBreak/>
        <w:t xml:space="preserve">α) στο δημοσιονομικό τομέα </w:t>
      </w:r>
    </w:p>
    <w:p w14:paraId="6D8E7928" w14:textId="77777777" w:rsidR="007B7A27" w:rsidRPr="007B7A27" w:rsidRDefault="007B7A27" w:rsidP="007B7A27">
      <w:pPr>
        <w:spacing w:before="120" w:line="360" w:lineRule="auto"/>
        <w:jc w:val="both"/>
        <w:rPr>
          <w:sz w:val="22"/>
          <w:szCs w:val="22"/>
          <w:lang w:val="el-GR"/>
        </w:rPr>
      </w:pPr>
      <w:r w:rsidRPr="007B7A27">
        <w:rPr>
          <w:sz w:val="22"/>
          <w:szCs w:val="22"/>
          <w:lang w:val="el-GR"/>
        </w:rPr>
        <w:t xml:space="preserve">β) στον τομέα της ολοκλήρωσης της Τραπεζικής Ένωσης. </w:t>
      </w:r>
    </w:p>
    <w:p w14:paraId="0DCAED25" w14:textId="77777777" w:rsidR="007B7A27" w:rsidRPr="007B7A27" w:rsidRDefault="007B7A27" w:rsidP="007B7A27">
      <w:pPr>
        <w:spacing w:before="120" w:line="360" w:lineRule="auto"/>
        <w:jc w:val="both"/>
        <w:rPr>
          <w:sz w:val="22"/>
          <w:szCs w:val="22"/>
          <w:lang w:val="el-GR"/>
        </w:rPr>
      </w:pPr>
    </w:p>
    <w:p w14:paraId="3CF8506D" w14:textId="77777777" w:rsidR="007B7A27" w:rsidRPr="00D75D85" w:rsidRDefault="007B7A27" w:rsidP="007B7A27">
      <w:pPr>
        <w:spacing w:before="120" w:line="360" w:lineRule="auto"/>
        <w:jc w:val="both"/>
        <w:rPr>
          <w:b/>
          <w:sz w:val="22"/>
          <w:szCs w:val="22"/>
          <w:lang w:val="el-GR"/>
        </w:rPr>
      </w:pPr>
      <w:r w:rsidRPr="00D75D85">
        <w:rPr>
          <w:b/>
          <w:sz w:val="22"/>
          <w:szCs w:val="22"/>
          <w:lang w:val="el-GR"/>
        </w:rPr>
        <w:t>α) Δημοσιονομικός τομέας</w:t>
      </w:r>
    </w:p>
    <w:p w14:paraId="1D3230FA" w14:textId="77777777" w:rsidR="007B7A27" w:rsidRPr="007B7A27" w:rsidRDefault="007B7A27" w:rsidP="007B7A27">
      <w:pPr>
        <w:spacing w:before="120" w:line="360" w:lineRule="auto"/>
        <w:jc w:val="both"/>
        <w:rPr>
          <w:sz w:val="22"/>
          <w:szCs w:val="22"/>
          <w:lang w:val="el-GR"/>
        </w:rPr>
      </w:pPr>
      <w:r w:rsidRPr="007B7A27">
        <w:rPr>
          <w:sz w:val="22"/>
          <w:szCs w:val="22"/>
          <w:lang w:val="el-GR"/>
        </w:rPr>
        <w:t xml:space="preserve">Όσον αφορά τον δημοσιονομικό τομέα, οι στόχοι ενός νέου πλαισίου είναι οι ακόλουθοι: </w:t>
      </w:r>
    </w:p>
    <w:p w14:paraId="298DB652" w14:textId="77777777" w:rsidR="007B7A27" w:rsidRPr="007B7A27" w:rsidRDefault="007B7A27" w:rsidP="007B7A27">
      <w:pPr>
        <w:spacing w:before="120" w:line="360" w:lineRule="auto"/>
        <w:jc w:val="both"/>
        <w:rPr>
          <w:sz w:val="22"/>
          <w:szCs w:val="22"/>
          <w:lang w:val="el-GR"/>
        </w:rPr>
      </w:pPr>
      <w:r w:rsidRPr="007B7A27">
        <w:rPr>
          <w:sz w:val="22"/>
          <w:szCs w:val="22"/>
          <w:lang w:val="el-GR"/>
        </w:rPr>
        <w:t>1.</w:t>
      </w:r>
      <w:r w:rsidRPr="007B7A27">
        <w:rPr>
          <w:sz w:val="22"/>
          <w:szCs w:val="22"/>
          <w:lang w:val="el-GR"/>
        </w:rPr>
        <w:tab/>
        <w:t>Βιωσιμότητα του δημόσιου χρέους σε εθνικό επίπεδο.</w:t>
      </w:r>
    </w:p>
    <w:p w14:paraId="3C9836EA" w14:textId="77777777" w:rsidR="007B7A27" w:rsidRPr="007B7A27" w:rsidRDefault="007B7A27" w:rsidP="007B7A27">
      <w:pPr>
        <w:spacing w:before="120" w:line="360" w:lineRule="auto"/>
        <w:jc w:val="both"/>
        <w:rPr>
          <w:sz w:val="22"/>
          <w:szCs w:val="22"/>
          <w:lang w:val="el-GR"/>
        </w:rPr>
      </w:pPr>
      <w:r w:rsidRPr="007B7A27">
        <w:rPr>
          <w:sz w:val="22"/>
          <w:szCs w:val="22"/>
          <w:lang w:val="el-GR"/>
        </w:rPr>
        <w:t>2.</w:t>
      </w:r>
      <w:r w:rsidRPr="007B7A27">
        <w:rPr>
          <w:sz w:val="22"/>
          <w:szCs w:val="22"/>
          <w:lang w:val="el-GR"/>
        </w:rPr>
        <w:tab/>
      </w:r>
      <w:proofErr w:type="spellStart"/>
      <w:r w:rsidRPr="007B7A27">
        <w:rPr>
          <w:sz w:val="22"/>
          <w:szCs w:val="22"/>
          <w:lang w:val="el-GR"/>
        </w:rPr>
        <w:t>Αντικυκλικότητα</w:t>
      </w:r>
      <w:proofErr w:type="spellEnd"/>
      <w:r w:rsidRPr="007B7A27">
        <w:rPr>
          <w:sz w:val="22"/>
          <w:szCs w:val="22"/>
          <w:lang w:val="el-GR"/>
        </w:rPr>
        <w:t xml:space="preserve"> της δημοσιονομικής πολιτικής σε εθνικό επίπεδο, ώστε να μπορούν οι εθνικές αρχές να σταθεροποιούν το ΑΕΠ σε περιόδους ύφεσης και να δημιουργούν επαρκή δημοσιονομικά αποθεματικά σε περιόδους ανάπτυξης, εξασφαλίζοντας έτσι υγιή δημοσιονομική διαχείριση κατά τη διάρκεια του οικονομικού κύκλου. </w:t>
      </w:r>
    </w:p>
    <w:p w14:paraId="367F81A8" w14:textId="77777777" w:rsidR="007B7A27" w:rsidRPr="007B7A27" w:rsidRDefault="007B7A27" w:rsidP="007B7A27">
      <w:pPr>
        <w:spacing w:before="120" w:line="360" w:lineRule="auto"/>
        <w:jc w:val="both"/>
        <w:rPr>
          <w:sz w:val="22"/>
          <w:szCs w:val="22"/>
          <w:lang w:val="el-GR"/>
        </w:rPr>
      </w:pPr>
      <w:r w:rsidRPr="007B7A27">
        <w:rPr>
          <w:sz w:val="22"/>
          <w:szCs w:val="22"/>
          <w:lang w:val="el-GR"/>
        </w:rPr>
        <w:t>3.</w:t>
      </w:r>
      <w:r w:rsidRPr="007B7A27">
        <w:rPr>
          <w:sz w:val="22"/>
          <w:szCs w:val="22"/>
          <w:lang w:val="el-GR"/>
        </w:rPr>
        <w:tab/>
        <w:t xml:space="preserve">Ένα αξιόπιστος μηχανισμός κυρώσεων σε περίπτωση μη συμμόρφωσης με τους νέους δημοσιονομικούς κανόνες, ο οποίος θα είναι αρκετά αυτοματοποιημένος, αφήνοντας λίγα περιθώρια πολιτικών παρεμβάσεων. Με τον τρόπο αυτό, ενισχύεται η αξιοπιστία και η αποτελεσματικότητα συμμόρφωσης στο νέο δημοσιονομικό πλαίσιο. </w:t>
      </w:r>
    </w:p>
    <w:p w14:paraId="549DCAEB" w14:textId="77777777" w:rsidR="007B7A27" w:rsidRPr="007B7A27" w:rsidRDefault="007B7A27" w:rsidP="007B7A27">
      <w:pPr>
        <w:spacing w:before="120" w:line="360" w:lineRule="auto"/>
        <w:jc w:val="both"/>
        <w:rPr>
          <w:sz w:val="22"/>
          <w:szCs w:val="22"/>
          <w:lang w:val="el-GR"/>
        </w:rPr>
      </w:pPr>
      <w:r w:rsidRPr="007B7A27">
        <w:rPr>
          <w:sz w:val="22"/>
          <w:szCs w:val="22"/>
          <w:lang w:val="el-GR"/>
        </w:rPr>
        <w:t>4.</w:t>
      </w:r>
      <w:r w:rsidRPr="007B7A27">
        <w:rPr>
          <w:sz w:val="22"/>
          <w:szCs w:val="22"/>
          <w:lang w:val="el-GR"/>
        </w:rPr>
        <w:tab/>
        <w:t xml:space="preserve">Δημιουργία ενός κεντρικού εργαλείου δημοσιονομικής πολιτικής, μετατρέποντας το Ταμείο Ανάκαμψης και Ανθεκτικότητας σε ένα μόνιμο δημοσιονομικό εργαλείο, το οποίο θα χρηματοδοτεί επενδύσεις (δεν θα κάνει μεταβιβάσεις, παρά μόνο σε ακραίες καταστάσεις, όπως ήταν, π.χ. η πανδημία, θα δίνει μόνο δάνεια προς αποφυγή του ηθικού κινδύνου χαλάρωσης των δημοσιονομικών μέτρων σε εθνικό επίπεδο) κυρίως στους τομείς της κλιματικής αλλαγής, της ενέργειας και του ψηφιακού μετασχηματισμού. </w:t>
      </w:r>
    </w:p>
    <w:p w14:paraId="447E7EC0" w14:textId="77777777" w:rsidR="007B7A27" w:rsidRDefault="007B7A27" w:rsidP="007B7A27">
      <w:pPr>
        <w:spacing w:before="120" w:line="360" w:lineRule="auto"/>
        <w:jc w:val="both"/>
        <w:rPr>
          <w:sz w:val="22"/>
          <w:szCs w:val="22"/>
          <w:lang w:val="el-GR"/>
        </w:rPr>
      </w:pPr>
      <w:r w:rsidRPr="007B7A27">
        <w:rPr>
          <w:sz w:val="22"/>
          <w:szCs w:val="22"/>
          <w:lang w:val="el-GR"/>
        </w:rPr>
        <w:t xml:space="preserve">Όπως ήδη ανέφερα, οι προτάσεις της Ευρωπαϊκής Επιτροπής είναι προς τη σωστή κατεύθυνση. Αυτό είναι ενθαρρυντικό στοιχείο. Θα ήταν σοβαρή οπισθοδρόμηση να μην υπάρξει συμφωνία και να επιστρέψουμε στο προ πανδημίας Σύμφωνο Σταθερότητας και Ανάπτυξης, το οποίο, </w:t>
      </w:r>
      <w:r w:rsidRPr="00D75D85">
        <w:rPr>
          <w:sz w:val="22"/>
          <w:szCs w:val="22"/>
          <w:u w:val="single"/>
          <w:lang w:val="el-GR"/>
        </w:rPr>
        <w:t>πρώτον</w:t>
      </w:r>
      <w:r w:rsidRPr="007B7A27">
        <w:rPr>
          <w:sz w:val="22"/>
          <w:szCs w:val="22"/>
          <w:lang w:val="el-GR"/>
        </w:rPr>
        <w:t xml:space="preserve">, ενέχει στοιχεία που θα μπορούσαν να δημιουργήσουν μια νέα κρίση, </w:t>
      </w:r>
      <w:r w:rsidRPr="00D75D85">
        <w:rPr>
          <w:sz w:val="22"/>
          <w:szCs w:val="22"/>
          <w:u w:val="single"/>
          <w:lang w:val="el-GR"/>
        </w:rPr>
        <w:t>δεύτερον</w:t>
      </w:r>
      <w:r w:rsidRPr="007B7A27">
        <w:rPr>
          <w:sz w:val="22"/>
          <w:szCs w:val="22"/>
          <w:lang w:val="el-GR"/>
        </w:rPr>
        <w:t xml:space="preserve">, είναι πολύ πιθανό να εμποδίσει τις απαραίτητες νέες δημόσιες επενδύσεις κοινού ευρωπαϊκού ενδιαφέροντος όπως για παράδειγμα, για το μετριασμό και την προσαρμογή στην κλιματική αλλαγή, και </w:t>
      </w:r>
      <w:r w:rsidRPr="00D75D85">
        <w:rPr>
          <w:sz w:val="22"/>
          <w:szCs w:val="22"/>
          <w:u w:val="single"/>
          <w:lang w:val="el-GR"/>
        </w:rPr>
        <w:t>τρίτον</w:t>
      </w:r>
      <w:r w:rsidRPr="007B7A27">
        <w:rPr>
          <w:sz w:val="22"/>
          <w:szCs w:val="22"/>
          <w:lang w:val="el-GR"/>
        </w:rPr>
        <w:t xml:space="preserve">, δεν θα συμβάλλει στην επίτευξη του καλύτερου δυνατού μείγματος νομισματικής και δημοσιονομικής πολιτικής. </w:t>
      </w:r>
    </w:p>
    <w:p w14:paraId="43D15C5F" w14:textId="77777777" w:rsidR="00D75D85" w:rsidRPr="007B7A27" w:rsidRDefault="00D75D85" w:rsidP="007B7A27">
      <w:pPr>
        <w:spacing w:before="120" w:line="360" w:lineRule="auto"/>
        <w:jc w:val="both"/>
        <w:rPr>
          <w:sz w:val="22"/>
          <w:szCs w:val="22"/>
          <w:lang w:val="el-GR"/>
        </w:rPr>
      </w:pPr>
    </w:p>
    <w:p w14:paraId="51D1936F" w14:textId="77777777" w:rsidR="007B7A27" w:rsidRPr="00D75D85" w:rsidRDefault="007B7A27" w:rsidP="007B7A27">
      <w:pPr>
        <w:spacing w:before="120" w:line="360" w:lineRule="auto"/>
        <w:jc w:val="both"/>
        <w:rPr>
          <w:b/>
          <w:sz w:val="22"/>
          <w:szCs w:val="22"/>
          <w:lang w:val="el-GR"/>
        </w:rPr>
      </w:pPr>
      <w:r w:rsidRPr="00D75D85">
        <w:rPr>
          <w:b/>
          <w:sz w:val="22"/>
          <w:szCs w:val="22"/>
          <w:lang w:val="el-GR"/>
        </w:rPr>
        <w:t>β) Ολοκλήρωση της Τραπεζικής Ένωσης</w:t>
      </w:r>
    </w:p>
    <w:p w14:paraId="7011EAE1" w14:textId="77777777" w:rsidR="007B7A27" w:rsidRPr="007B7A27" w:rsidRDefault="007B7A27" w:rsidP="007B7A27">
      <w:pPr>
        <w:spacing w:before="120" w:line="360" w:lineRule="auto"/>
        <w:jc w:val="both"/>
        <w:rPr>
          <w:sz w:val="22"/>
          <w:szCs w:val="22"/>
          <w:lang w:val="el-GR"/>
        </w:rPr>
      </w:pPr>
      <w:r w:rsidRPr="007B7A27">
        <w:rPr>
          <w:sz w:val="22"/>
          <w:szCs w:val="22"/>
          <w:lang w:val="el-GR"/>
        </w:rPr>
        <w:t>Η ολοκλήρωση της Τραπεζικής Ένωσης είναι καταλυτικής σημασίας για τη δημιουργία μιας πλήρους οικονομικής και νομισματικής ένωσης. Διαφορετικά, χρηματοοικονομικά εμπόδια (</w:t>
      </w:r>
      <w:proofErr w:type="spellStart"/>
      <w:r w:rsidRPr="007B7A27">
        <w:rPr>
          <w:sz w:val="22"/>
          <w:szCs w:val="22"/>
          <w:lang w:val="el-GR"/>
        </w:rPr>
        <w:t>financial</w:t>
      </w:r>
      <w:proofErr w:type="spellEnd"/>
      <w:r w:rsidRPr="007B7A27">
        <w:rPr>
          <w:sz w:val="22"/>
          <w:szCs w:val="22"/>
          <w:lang w:val="el-GR"/>
        </w:rPr>
        <w:t xml:space="preserve"> </w:t>
      </w:r>
      <w:proofErr w:type="spellStart"/>
      <w:r w:rsidRPr="007B7A27">
        <w:rPr>
          <w:sz w:val="22"/>
          <w:szCs w:val="22"/>
          <w:lang w:val="el-GR"/>
        </w:rPr>
        <w:t>fragmentation</w:t>
      </w:r>
      <w:proofErr w:type="spellEnd"/>
      <w:r w:rsidRPr="007B7A27">
        <w:rPr>
          <w:sz w:val="22"/>
          <w:szCs w:val="22"/>
          <w:lang w:val="el-GR"/>
        </w:rPr>
        <w:t xml:space="preserve">) θα παραμένουν ενεργά, δυσχεραίνοντας την ομαλή μετάδοση της </w:t>
      </w:r>
      <w:r w:rsidRPr="007B7A27">
        <w:rPr>
          <w:sz w:val="22"/>
          <w:szCs w:val="22"/>
          <w:lang w:val="el-GR"/>
        </w:rPr>
        <w:lastRenderedPageBreak/>
        <w:t>νομισματικής πολιτικής, και το ευρώ δεν θα μπορεί να ανταγωνιστεί με ίσους όρους τα άλλα διεθνή αποθεματικά νομίσματα. Η βασική ιδέα εδώ είναι ότι η εποπτεία όλων των τραπεζών, και όχι μόνο των συστημικών, η εξυγίανσή τους, το πλαίσιο διαχείρισης τραπεζικών κρίσεων και, κυρίως, η δημιουργία ενός συστήματος ασφάλισης καταθέσεων θα πρέπει να αποκτήσουν πανευρωπαϊκή υπόσταση, και να μην στηρίζονται σε εθνικές ιδιαιτερότητες και ρυθμίσεις. Η καθιέρωση, ιδιαιτέρως, ενός πανευρωπαϊκού συστήματος ασφάλισης καταθέσεων μπορεί να συμβάλει στη χρηματοοικονομική σταθερότητα της ευρωζώνης πολύ ευρύτερα από το ρόλο του ως απλού μηχανισμού αποζημίωσης καταθετών. Ειδικότερα, μπορεί να λειτουργήσει και ως μηχανισμός ελαχιστοποίησης των κινδύνων και παρεμπόδισης μιας τραπεζικής κρίσης:</w:t>
      </w:r>
    </w:p>
    <w:p w14:paraId="7A6CA69B" w14:textId="77777777" w:rsidR="007B7A27" w:rsidRPr="007B7A27" w:rsidRDefault="007B7A27" w:rsidP="007B7A27">
      <w:pPr>
        <w:spacing w:before="120" w:line="360" w:lineRule="auto"/>
        <w:jc w:val="both"/>
        <w:rPr>
          <w:sz w:val="22"/>
          <w:szCs w:val="22"/>
          <w:lang w:val="el-GR"/>
        </w:rPr>
      </w:pPr>
      <w:r w:rsidRPr="007B7A27">
        <w:rPr>
          <w:sz w:val="22"/>
          <w:szCs w:val="22"/>
          <w:lang w:val="el-GR"/>
        </w:rPr>
        <w:t xml:space="preserve">α) πριν ένα τραπεζικό ίδρυμα κριθεί ως μη βιώσιμο </w:t>
      </w:r>
    </w:p>
    <w:p w14:paraId="354085AA" w14:textId="77777777" w:rsidR="007B7A27" w:rsidRPr="007B7A27" w:rsidRDefault="007B7A27" w:rsidP="007B7A27">
      <w:pPr>
        <w:spacing w:before="120" w:line="360" w:lineRule="auto"/>
        <w:jc w:val="both"/>
        <w:rPr>
          <w:sz w:val="22"/>
          <w:szCs w:val="22"/>
          <w:lang w:val="el-GR"/>
        </w:rPr>
      </w:pPr>
      <w:r w:rsidRPr="007B7A27">
        <w:rPr>
          <w:sz w:val="22"/>
          <w:szCs w:val="22"/>
          <w:lang w:val="el-GR"/>
        </w:rPr>
        <w:t xml:space="preserve">β) στην περίπτωση εξυγίανσης ενός τραπεζικού ιδρύματος </w:t>
      </w:r>
    </w:p>
    <w:p w14:paraId="0754A041" w14:textId="77777777" w:rsidR="007B7A27" w:rsidRPr="007B7A27" w:rsidRDefault="007B7A27" w:rsidP="007B7A27">
      <w:pPr>
        <w:spacing w:before="120" w:line="360" w:lineRule="auto"/>
        <w:jc w:val="both"/>
        <w:rPr>
          <w:sz w:val="22"/>
          <w:szCs w:val="22"/>
          <w:lang w:val="el-GR"/>
        </w:rPr>
      </w:pPr>
      <w:r w:rsidRPr="007B7A27">
        <w:rPr>
          <w:sz w:val="22"/>
          <w:szCs w:val="22"/>
          <w:lang w:val="el-GR"/>
        </w:rPr>
        <w:t xml:space="preserve">γ) εξασφαλίζοντας την ομαλή έξοδο ενός τραπεζικού ιδρύματος από την αγορά χωρίς συνέπειες για τους καταθέτες του. </w:t>
      </w:r>
    </w:p>
    <w:p w14:paraId="54949AC1" w14:textId="77777777" w:rsidR="007B7A27" w:rsidRPr="007B7A27" w:rsidRDefault="007B7A27" w:rsidP="007B7A27">
      <w:pPr>
        <w:spacing w:before="120" w:line="360" w:lineRule="auto"/>
        <w:jc w:val="both"/>
        <w:rPr>
          <w:sz w:val="22"/>
          <w:szCs w:val="22"/>
          <w:lang w:val="el-GR"/>
        </w:rPr>
      </w:pPr>
    </w:p>
    <w:p w14:paraId="6401C058" w14:textId="77777777" w:rsidR="007B7A27" w:rsidRPr="00D75D85" w:rsidRDefault="007B7A27" w:rsidP="007B7A27">
      <w:pPr>
        <w:spacing w:before="120" w:line="360" w:lineRule="auto"/>
        <w:jc w:val="both"/>
        <w:rPr>
          <w:b/>
          <w:sz w:val="22"/>
          <w:szCs w:val="22"/>
          <w:lang w:val="el-GR"/>
        </w:rPr>
      </w:pPr>
      <w:r w:rsidRPr="00D75D85">
        <w:rPr>
          <w:b/>
          <w:sz w:val="22"/>
          <w:szCs w:val="22"/>
          <w:lang w:val="el-GR"/>
        </w:rPr>
        <w:t>Ε. Επίλογος</w:t>
      </w:r>
    </w:p>
    <w:p w14:paraId="323CCED4" w14:textId="77777777" w:rsidR="007B7A27" w:rsidRPr="007B7A27" w:rsidRDefault="007B7A27" w:rsidP="007B7A27">
      <w:pPr>
        <w:spacing w:before="120" w:line="360" w:lineRule="auto"/>
        <w:jc w:val="both"/>
        <w:rPr>
          <w:sz w:val="22"/>
          <w:szCs w:val="22"/>
          <w:lang w:val="el-GR"/>
        </w:rPr>
      </w:pPr>
      <w:r w:rsidRPr="007B7A27">
        <w:rPr>
          <w:sz w:val="22"/>
          <w:szCs w:val="22"/>
          <w:lang w:val="el-GR"/>
        </w:rPr>
        <w:t xml:space="preserve">Ο μεγαλύτερος κίνδυνος που αντιμετωπίζουμε συλλογικά στην ευρωζώνη είναι να κάνουμε πολύ λίγες μεταρρυθμίσεις και με καθυστέρηση. Πρέπει να δράσουμε εγκαίρως και εκ των προτέρων (δηλαδή πριν ξεσπάσει μια νέα μεγάλη κρίση), με αποφασιστικές, ισορροπημένες και καλοσχεδιασμένες μεταρρυθμίσεις στο επίπεδο της ευρωζώνης, σε πνεύμα συνεργασίας και αμοιβαίων παραχωρήσεων, στο πλαίσιο όσων ειπώθηκαν προηγουμένως. Οι αλλαγές αυτές θα κάνουν τις οικονομίες μας πιο ανθεκτικές, θα προσδώσουν μεγαλύτερη αποδοχή στο ευρώ ως παγκόσμιο αποθεματικό νόμισμα και θα θέσουν τα θεμέλια για βιώσιμη και διαρκή ευημερία όλων των πολιτών της ευρωζώνης. </w:t>
      </w:r>
    </w:p>
    <w:p w14:paraId="61D77334" w14:textId="77777777" w:rsidR="007B7A27" w:rsidRPr="007B7A27" w:rsidRDefault="007B7A27" w:rsidP="007B7A27">
      <w:pPr>
        <w:spacing w:before="120" w:line="360" w:lineRule="auto"/>
        <w:jc w:val="both"/>
        <w:rPr>
          <w:sz w:val="22"/>
          <w:szCs w:val="22"/>
          <w:lang w:val="el-GR"/>
        </w:rPr>
      </w:pPr>
      <w:r w:rsidRPr="007B7A27">
        <w:rPr>
          <w:sz w:val="22"/>
          <w:szCs w:val="22"/>
          <w:lang w:val="el-GR"/>
        </w:rPr>
        <w:t xml:space="preserve">Η υιοθέτηση του ευρώ αποτελεί μια ομοσπονδιακή μορφή διακυβέρνησης στην Ευρώπη. Και ακόμη περισσότερο, η Ευρωπαϊκή Κεντρική Τράπεζα και το </w:t>
      </w:r>
      <w:proofErr w:type="spellStart"/>
      <w:r w:rsidRPr="007B7A27">
        <w:rPr>
          <w:sz w:val="22"/>
          <w:szCs w:val="22"/>
          <w:lang w:val="el-GR"/>
        </w:rPr>
        <w:t>Ευρωσύστημα</w:t>
      </w:r>
      <w:proofErr w:type="spellEnd"/>
      <w:r w:rsidRPr="007B7A27">
        <w:rPr>
          <w:sz w:val="22"/>
          <w:szCs w:val="22"/>
          <w:lang w:val="el-GR"/>
        </w:rPr>
        <w:t xml:space="preserve"> αποτελούν την πιο προχωρημένη μορφή ενιαίας διακυβέρνησης μέσα στην ευρωζώνη, που μπορεί να αποτελέσει οδηγό για την αντιμετώπιση και των υπόλοιπων μεγάλων προκλήσεων της Ευρωπαϊκής Ένωσης. Ο δρόμος για την πλήρη ενοποίηση της Ευρώπης είναι ακόμα μακρύς και δύσκολος. Οτιδήποτε όμως λιγότερο από αυτό θα οδηγήσει στη σταδιακή περιθωριοποίηση της Ευρώπης και στην απώλεια ευημερίας για τους πολίτες της. Έτσι, πρέπει να επικεντρωθούμε στο στόχο μας: την ενωμένη Ευρώπη της ελευθερίας, της ασφάλειας, της ευημερίας και της δημοκρατίας.</w:t>
      </w:r>
    </w:p>
    <w:p w14:paraId="216B8A14" w14:textId="77777777" w:rsidR="007B7A27" w:rsidRPr="007B7A27" w:rsidRDefault="007B7A27" w:rsidP="007B7A27">
      <w:pPr>
        <w:spacing w:before="120" w:line="360" w:lineRule="auto"/>
        <w:jc w:val="both"/>
        <w:rPr>
          <w:sz w:val="22"/>
          <w:szCs w:val="22"/>
          <w:lang w:val="el-GR"/>
        </w:rPr>
      </w:pPr>
      <w:r w:rsidRPr="007B7A27">
        <w:rPr>
          <w:sz w:val="22"/>
          <w:szCs w:val="22"/>
          <w:lang w:val="el-GR"/>
        </w:rPr>
        <w:t>Κλείνοντας την ομιλία μου θα ήθελα να διατυπώσω μία αισιόδοξη σκέψη.</w:t>
      </w:r>
    </w:p>
    <w:p w14:paraId="359CE23B" w14:textId="77777777" w:rsidR="007B7A27" w:rsidRPr="007B7A27" w:rsidRDefault="007B7A27" w:rsidP="007B7A27">
      <w:pPr>
        <w:spacing w:before="120" w:line="360" w:lineRule="auto"/>
        <w:jc w:val="both"/>
        <w:rPr>
          <w:sz w:val="22"/>
          <w:szCs w:val="22"/>
          <w:lang w:val="el-GR"/>
        </w:rPr>
      </w:pPr>
      <w:r w:rsidRPr="007B7A27">
        <w:rPr>
          <w:sz w:val="22"/>
          <w:szCs w:val="22"/>
          <w:lang w:val="el-GR"/>
        </w:rPr>
        <w:lastRenderedPageBreak/>
        <w:t xml:space="preserve">Όπως περιέγραψα παραπάνω, η ελληνική οικονομία βρίσκεται πλέον σε θετική, αν και δύσκολη, πορεία. Παρόλο που αντιμετωπίζει αρκετές και σημαντικές προκλήσεις, φαίνεται ότι έχει την δυναμική να υπερβεί τα εμπόδια.  </w:t>
      </w:r>
    </w:p>
    <w:p w14:paraId="5E9FB76A" w14:textId="77777777" w:rsidR="007B7A27" w:rsidRPr="007B7A27" w:rsidRDefault="007B7A27" w:rsidP="007B7A27">
      <w:pPr>
        <w:spacing w:before="120" w:line="360" w:lineRule="auto"/>
        <w:jc w:val="both"/>
        <w:rPr>
          <w:sz w:val="22"/>
          <w:szCs w:val="22"/>
          <w:lang w:val="el-GR"/>
        </w:rPr>
      </w:pPr>
      <w:r w:rsidRPr="007B7A27">
        <w:rPr>
          <w:sz w:val="22"/>
          <w:szCs w:val="22"/>
          <w:lang w:val="el-GR"/>
        </w:rPr>
        <w:t>Ανάλογη είναι και η εκτίμηση για την ευρωπαϊκή ολοκλήρωση. Και εδώ, ο δρόμος θα είναι μακρύς, αλλά όχι αδιάβατος.</w:t>
      </w:r>
    </w:p>
    <w:p w14:paraId="304C5060" w14:textId="77777777" w:rsidR="007B7A27" w:rsidRPr="007B7A27" w:rsidRDefault="007B7A27" w:rsidP="007B7A27">
      <w:pPr>
        <w:spacing w:before="120" w:line="360" w:lineRule="auto"/>
        <w:jc w:val="both"/>
        <w:rPr>
          <w:sz w:val="22"/>
          <w:szCs w:val="22"/>
          <w:lang w:val="el-GR"/>
        </w:rPr>
      </w:pPr>
      <w:r w:rsidRPr="007B7A27">
        <w:rPr>
          <w:sz w:val="22"/>
          <w:szCs w:val="22"/>
          <w:lang w:val="el-GR"/>
        </w:rPr>
        <w:t>Εναπόκειται σε μας, στους πολίτες της ενωμένης Ευρώπης, να αγωνιστούμε για την επίτευξη των στόχων μας και να δράσουμε εκ των προτέρων, όχι εκ των υστέρων, ως Προμηθείς και όχι ως Επιμηθείς.</w:t>
      </w:r>
    </w:p>
    <w:p w14:paraId="7AB437CE" w14:textId="77777777" w:rsidR="007B7A27" w:rsidRPr="007B7A27" w:rsidRDefault="007B7A27" w:rsidP="007B7A27">
      <w:pPr>
        <w:spacing w:before="120" w:line="360" w:lineRule="auto"/>
        <w:jc w:val="both"/>
        <w:rPr>
          <w:sz w:val="22"/>
          <w:szCs w:val="22"/>
          <w:lang w:val="el-GR"/>
        </w:rPr>
      </w:pPr>
    </w:p>
    <w:p w14:paraId="6ECDDE3B" w14:textId="77777777" w:rsidR="0068536A" w:rsidRPr="00614A99" w:rsidRDefault="0068536A" w:rsidP="007B7A27">
      <w:pPr>
        <w:spacing w:before="120" w:line="360" w:lineRule="auto"/>
        <w:jc w:val="both"/>
        <w:rPr>
          <w:sz w:val="22"/>
          <w:szCs w:val="22"/>
          <w:lang w:val="el-GR"/>
        </w:rPr>
      </w:pPr>
    </w:p>
    <w:sectPr w:rsidR="0068536A" w:rsidRPr="00614A99" w:rsidSect="00FF5D14">
      <w:footerReference w:type="default" r:id="rId9"/>
      <w:footerReference w:type="first" r:id="rId10"/>
      <w:pgSz w:w="11906" w:h="16838"/>
      <w:pgMar w:top="1276" w:right="1418" w:bottom="1276" w:left="1418" w:header="720" w:footer="2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52F77" w14:textId="77777777" w:rsidR="00846048" w:rsidRDefault="00846048">
      <w:r>
        <w:separator/>
      </w:r>
    </w:p>
  </w:endnote>
  <w:endnote w:type="continuationSeparator" w:id="0">
    <w:p w14:paraId="16948B25" w14:textId="77777777" w:rsidR="00846048" w:rsidRDefault="0084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49D8" w14:textId="77777777" w:rsidR="00906441" w:rsidRDefault="00614A99" w:rsidP="006F37D0">
    <w:pPr>
      <w:tabs>
        <w:tab w:val="left" w:pos="2288"/>
      </w:tabs>
      <w:spacing w:line="360" w:lineRule="auto"/>
      <w:ind w:right="360"/>
      <w:rPr>
        <w:sz w:val="14"/>
        <w:lang w:val="el-GR"/>
      </w:rPr>
    </w:pPr>
    <w:r>
      <w:rPr>
        <w:sz w:val="20"/>
      </w:rPr>
      <w:tab/>
    </w:r>
  </w:p>
  <w:p w14:paraId="419AB01F" w14:textId="77777777" w:rsidR="00766A4F" w:rsidRPr="00614A99" w:rsidRDefault="00766A4F" w:rsidP="00766A4F">
    <w:pPr>
      <w:pStyle w:val="Footer"/>
      <w:framePr w:wrap="auto" w:vAnchor="text" w:hAnchor="page" w:x="10807" w:y="301"/>
      <w:rPr>
        <w:rFonts w:ascii="Arial" w:hAnsi="Arial" w:cs="Arial"/>
      </w:rPr>
    </w:pPr>
  </w:p>
  <w:tbl>
    <w:tblPr>
      <w:tblW w:w="9498" w:type="dxa"/>
      <w:tblInd w:w="108" w:type="dxa"/>
      <w:tblBorders>
        <w:left w:val="single" w:sz="48" w:space="0" w:color="DEA400"/>
      </w:tblBorders>
      <w:tblLook w:val="0000" w:firstRow="0" w:lastRow="0" w:firstColumn="0" w:lastColumn="0" w:noHBand="0" w:noVBand="0"/>
    </w:tblPr>
    <w:tblGrid>
      <w:gridCol w:w="4917"/>
      <w:gridCol w:w="4581"/>
    </w:tblGrid>
    <w:tr w:rsidR="00766A4F" w:rsidRPr="00766A4F" w14:paraId="31073BAF" w14:textId="77777777" w:rsidTr="00F26854">
      <w:tc>
        <w:tcPr>
          <w:tcW w:w="4917" w:type="dxa"/>
          <w:tcBorders>
            <w:left w:val="single" w:sz="48" w:space="0" w:color="BC9E6E"/>
          </w:tcBorders>
          <w:shd w:val="clear" w:color="auto" w:fill="auto"/>
        </w:tcPr>
        <w:p w14:paraId="66636821" w14:textId="77777777" w:rsidR="006B5E1E" w:rsidRDefault="006B5E1E" w:rsidP="001E6951">
          <w:pPr>
            <w:pStyle w:val="Footer"/>
            <w:tabs>
              <w:tab w:val="left" w:pos="5220"/>
            </w:tabs>
            <w:spacing w:before="60" w:after="60"/>
            <w:ind w:firstLine="176"/>
            <w:rPr>
              <w:rFonts w:ascii="Arial" w:hAnsi="Arial" w:cs="Arial"/>
              <w:sz w:val="14"/>
              <w:lang w:val="el-GR"/>
            </w:rPr>
          </w:pPr>
          <w:r w:rsidRPr="00766A4F">
            <w:rPr>
              <w:rFonts w:ascii="Arial" w:hAnsi="Arial" w:cs="Arial"/>
              <w:sz w:val="14"/>
              <w:lang w:val="el-GR"/>
            </w:rPr>
            <w:t>Ελ. Βενιζέλου 21, Αθήνα 10250</w:t>
          </w:r>
        </w:p>
        <w:p w14:paraId="0E9EB626" w14:textId="77777777" w:rsidR="006B5E1E" w:rsidRDefault="006B5E1E" w:rsidP="001E6951">
          <w:pPr>
            <w:pStyle w:val="Footer"/>
            <w:tabs>
              <w:tab w:val="left" w:pos="5220"/>
            </w:tabs>
            <w:spacing w:before="60" w:after="60"/>
            <w:ind w:firstLine="176"/>
            <w:rPr>
              <w:rFonts w:ascii="Arial" w:hAnsi="Arial" w:cs="Arial"/>
              <w:sz w:val="14"/>
              <w:lang w:val="el-GR"/>
            </w:rPr>
          </w:pPr>
          <w:proofErr w:type="spellStart"/>
          <w:r w:rsidRPr="00766A4F">
            <w:rPr>
              <w:rFonts w:ascii="Arial" w:hAnsi="Arial" w:cs="Arial"/>
              <w:sz w:val="14"/>
              <w:lang w:val="el-GR"/>
            </w:rPr>
            <w:t>Τηλ</w:t>
          </w:r>
          <w:proofErr w:type="spellEnd"/>
          <w:r w:rsidR="00C25ACA" w:rsidRPr="00DA2D5C">
            <w:rPr>
              <w:rFonts w:ascii="Arial" w:hAnsi="Arial" w:cs="Arial"/>
              <w:sz w:val="14"/>
              <w:lang w:val="el-GR"/>
            </w:rPr>
            <w:t>:</w:t>
          </w:r>
          <w:r w:rsidRPr="005B1F16">
            <w:rPr>
              <w:rFonts w:ascii="Arial" w:hAnsi="Arial" w:cs="Arial"/>
              <w:sz w:val="14"/>
              <w:lang w:val="el-GR"/>
            </w:rPr>
            <w:t xml:space="preserve"> 210</w:t>
          </w:r>
          <w:r>
            <w:rPr>
              <w:rFonts w:ascii="Arial" w:hAnsi="Arial" w:cs="Arial"/>
              <w:sz w:val="14"/>
              <w:lang w:val="el-GR"/>
            </w:rPr>
            <w:t xml:space="preserve"> </w:t>
          </w:r>
          <w:r w:rsidRPr="005B1F16">
            <w:rPr>
              <w:rFonts w:ascii="Arial" w:hAnsi="Arial" w:cs="Arial"/>
              <w:sz w:val="14"/>
              <w:lang w:val="el-GR"/>
            </w:rPr>
            <w:t>320</w:t>
          </w:r>
          <w:r>
            <w:rPr>
              <w:rFonts w:ascii="Arial" w:hAnsi="Arial" w:cs="Arial"/>
              <w:sz w:val="14"/>
              <w:lang w:val="el-GR"/>
            </w:rPr>
            <w:t xml:space="preserve"> </w:t>
          </w:r>
          <w:r w:rsidRPr="005B1F16">
            <w:rPr>
              <w:rFonts w:ascii="Arial" w:hAnsi="Arial" w:cs="Arial"/>
              <w:sz w:val="14"/>
              <w:lang w:val="el-GR"/>
            </w:rPr>
            <w:t>3446-8</w:t>
          </w:r>
        </w:p>
        <w:p w14:paraId="79BE8274" w14:textId="77777777" w:rsidR="00766A4F" w:rsidRDefault="00000000" w:rsidP="006B5E1E">
          <w:pPr>
            <w:pStyle w:val="Footer"/>
            <w:tabs>
              <w:tab w:val="left" w:pos="5220"/>
            </w:tabs>
            <w:spacing w:before="60" w:after="60"/>
            <w:ind w:firstLine="176"/>
            <w:rPr>
              <w:rFonts w:ascii="Arial" w:hAnsi="Arial" w:cs="Arial"/>
              <w:sz w:val="14"/>
              <w:lang w:val="el-GR"/>
            </w:rPr>
          </w:pPr>
          <w:hyperlink r:id="rId1" w:history="1">
            <w:r w:rsidR="00184CB0" w:rsidRPr="00E06524">
              <w:rPr>
                <w:rStyle w:val="Hyperlink"/>
                <w:rFonts w:ascii="Arial" w:hAnsi="Arial" w:cs="Arial"/>
                <w:sz w:val="14"/>
                <w:lang w:val="en-US"/>
              </w:rPr>
              <w:t>press</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bankofgreece</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gr</w:t>
            </w:r>
          </w:hyperlink>
          <w:r w:rsidR="006B5E1E">
            <w:rPr>
              <w:rFonts w:ascii="Arial" w:hAnsi="Arial" w:cs="Arial"/>
              <w:sz w:val="14"/>
              <w:lang w:val="el-GR"/>
            </w:rPr>
            <w:t xml:space="preserve"> | </w:t>
          </w:r>
          <w:r w:rsidR="00184CB0" w:rsidRPr="006B5E1E">
            <w:rPr>
              <w:rFonts w:ascii="Arial" w:hAnsi="Arial" w:cs="Arial"/>
              <w:sz w:val="14"/>
              <w:lang w:val="el-GR"/>
            </w:rPr>
            <w:t xml:space="preserve"> </w:t>
          </w:r>
          <w:hyperlink r:id="rId2" w:history="1">
            <w:r w:rsidR="00184CB0" w:rsidRPr="00E06524">
              <w:rPr>
                <w:rStyle w:val="Hyperlink"/>
                <w:rFonts w:ascii="Arial" w:hAnsi="Arial" w:cs="Arial"/>
                <w:sz w:val="14"/>
                <w:lang w:val="en-US"/>
              </w:rPr>
              <w:t>www</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bankofgreece</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gr</w:t>
            </w:r>
          </w:hyperlink>
          <w:r w:rsidR="00184CB0" w:rsidRPr="006B5E1E">
            <w:rPr>
              <w:rFonts w:ascii="Arial" w:hAnsi="Arial" w:cs="Arial"/>
              <w:sz w:val="14"/>
              <w:lang w:val="el-GR"/>
            </w:rPr>
            <w:t xml:space="preserve"> </w:t>
          </w:r>
        </w:p>
      </w:tc>
      <w:tc>
        <w:tcPr>
          <w:tcW w:w="4581" w:type="dxa"/>
          <w:shd w:val="clear" w:color="auto" w:fill="auto"/>
        </w:tcPr>
        <w:p w14:paraId="1C9F9441" w14:textId="77777777" w:rsidR="00766A4F" w:rsidRPr="00184CB0" w:rsidRDefault="00766A4F" w:rsidP="00766A4F">
          <w:pPr>
            <w:pStyle w:val="Footer"/>
            <w:tabs>
              <w:tab w:val="left" w:pos="5220"/>
            </w:tabs>
            <w:spacing w:before="60" w:after="60"/>
            <w:jc w:val="right"/>
            <w:rPr>
              <w:rFonts w:ascii="Arial" w:hAnsi="Arial" w:cs="Arial"/>
              <w:color w:val="auto"/>
              <w:sz w:val="14"/>
              <w:lang w:val="el-GR"/>
            </w:rPr>
          </w:pPr>
          <w:r w:rsidRPr="006F37D0">
            <w:rPr>
              <w:rFonts w:ascii="Arial" w:hAnsi="Arial" w:cs="Arial"/>
              <w:color w:val="auto"/>
              <w:sz w:val="18"/>
              <w:lang w:val="en-US"/>
            </w:rPr>
            <w:fldChar w:fldCharType="begin"/>
          </w:r>
          <w:r w:rsidRPr="006F37D0">
            <w:rPr>
              <w:rFonts w:ascii="Arial" w:hAnsi="Arial" w:cs="Arial"/>
              <w:color w:val="auto"/>
              <w:sz w:val="18"/>
              <w:lang w:val="en-US"/>
            </w:rPr>
            <w:instrText xml:space="preserve"> PAGE   \* MERGEFORMAT </w:instrText>
          </w:r>
          <w:r w:rsidRPr="006F37D0">
            <w:rPr>
              <w:rFonts w:ascii="Arial" w:hAnsi="Arial" w:cs="Arial"/>
              <w:color w:val="auto"/>
              <w:sz w:val="18"/>
              <w:lang w:val="en-US"/>
            </w:rPr>
            <w:fldChar w:fldCharType="separate"/>
          </w:r>
          <w:r w:rsidR="00B44F1A">
            <w:rPr>
              <w:rFonts w:ascii="Arial" w:hAnsi="Arial" w:cs="Arial"/>
              <w:noProof/>
              <w:color w:val="auto"/>
              <w:sz w:val="18"/>
              <w:lang w:val="en-US"/>
            </w:rPr>
            <w:t>1</w:t>
          </w:r>
          <w:r w:rsidRPr="006F37D0">
            <w:rPr>
              <w:rFonts w:ascii="Arial" w:hAnsi="Arial" w:cs="Arial"/>
              <w:noProof/>
              <w:color w:val="auto"/>
              <w:sz w:val="18"/>
              <w:lang w:val="en-US"/>
            </w:rPr>
            <w:fldChar w:fldCharType="end"/>
          </w:r>
          <w:r w:rsidR="00184CB0">
            <w:rPr>
              <w:rFonts w:ascii="Arial" w:hAnsi="Arial" w:cs="Arial"/>
              <w:noProof/>
              <w:color w:val="auto"/>
              <w:sz w:val="18"/>
              <w:lang w:val="el-GR"/>
            </w:rPr>
            <w:t xml:space="preserve"> </w:t>
          </w:r>
          <w:r w:rsidR="00184CB0" w:rsidRPr="00D929F5">
            <w:rPr>
              <w:rFonts w:ascii="Arial Black" w:hAnsi="Arial Black" w:cs="Arial"/>
              <w:b/>
              <w:noProof/>
              <w:color w:val="948A54"/>
              <w:sz w:val="22"/>
              <w:lang w:val="el-GR"/>
            </w:rPr>
            <w:t>|</w:t>
          </w:r>
        </w:p>
      </w:tc>
    </w:tr>
  </w:tbl>
  <w:p w14:paraId="7D8979A5" w14:textId="77777777" w:rsidR="00906441" w:rsidRDefault="00906441" w:rsidP="006F37D0">
    <w:pPr>
      <w:pStyle w:val="Footer"/>
      <w:ind w:right="360"/>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CEF7" w14:textId="77777777" w:rsidR="00906441" w:rsidRDefault="00906441">
    <w:pPr>
      <w:pStyle w:val="Footer"/>
      <w:rPr>
        <w:sz w:val="20"/>
        <w:lang w:val="de-DE"/>
      </w:rPr>
    </w:pPr>
  </w:p>
  <w:p w14:paraId="2B3FCFD2" w14:textId="77777777" w:rsidR="00906441" w:rsidRDefault="00906441">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29818" w14:textId="77777777" w:rsidR="00846048" w:rsidRDefault="00846048">
      <w:r>
        <w:separator/>
      </w:r>
    </w:p>
  </w:footnote>
  <w:footnote w:type="continuationSeparator" w:id="0">
    <w:p w14:paraId="085971C7" w14:textId="77777777" w:rsidR="00846048" w:rsidRDefault="00846048">
      <w:r>
        <w:continuationSeparator/>
      </w:r>
    </w:p>
  </w:footnote>
  <w:footnote w:id="1">
    <w:p w14:paraId="276DE9E5" w14:textId="77777777" w:rsidR="00D75D85" w:rsidRPr="00D75D85" w:rsidRDefault="00D75D85">
      <w:pPr>
        <w:pStyle w:val="FootnoteText"/>
        <w:rPr>
          <w:lang w:val="el-GR"/>
        </w:rPr>
      </w:pPr>
      <w:r w:rsidRPr="00D75D85">
        <w:rPr>
          <w:rStyle w:val="FootnoteReference"/>
          <w:rFonts w:ascii="Arial" w:hAnsi="Arial" w:cs="Arial"/>
        </w:rPr>
        <w:footnoteRef/>
      </w:r>
      <w:r>
        <w:t xml:space="preserve"> </w:t>
      </w:r>
      <w:r w:rsidRPr="00D75D85">
        <w:t xml:space="preserve">  </w:t>
      </w:r>
      <w:r w:rsidRPr="00D75D85">
        <w:rPr>
          <w:rFonts w:ascii="Arial" w:hAnsi="Arial" w:cs="Arial"/>
          <w:sz w:val="14"/>
          <w:szCs w:val="14"/>
        </w:rPr>
        <w:t xml:space="preserve">Johann Wolfgang von Goethe „Die </w:t>
      </w:r>
      <w:proofErr w:type="spellStart"/>
      <w:r w:rsidRPr="00D75D85">
        <w:rPr>
          <w:rFonts w:ascii="Arial" w:hAnsi="Arial" w:cs="Arial"/>
          <w:sz w:val="14"/>
          <w:szCs w:val="14"/>
        </w:rPr>
        <w:t>Wahlverwandtschaften</w:t>
      </w:r>
      <w:proofErr w:type="spellEnd"/>
      <w:r w:rsidRPr="00D75D85">
        <w:rPr>
          <w:rFonts w:ascii="Arial" w:hAnsi="Arial" w:cs="Arial"/>
          <w:sz w:val="14"/>
          <w:szCs w:val="14"/>
        </w:rPr>
        <w:t xml:space="preserve">“: „Die </w:t>
      </w:r>
      <w:proofErr w:type="spellStart"/>
      <w:r w:rsidRPr="00D75D85">
        <w:rPr>
          <w:rFonts w:ascii="Arial" w:hAnsi="Arial" w:cs="Arial"/>
          <w:sz w:val="14"/>
          <w:szCs w:val="14"/>
        </w:rPr>
        <w:t>Schwierigkeiten</w:t>
      </w:r>
      <w:proofErr w:type="spellEnd"/>
      <w:r w:rsidRPr="00D75D85">
        <w:rPr>
          <w:rFonts w:ascii="Arial" w:hAnsi="Arial" w:cs="Arial"/>
          <w:sz w:val="14"/>
          <w:szCs w:val="14"/>
        </w:rPr>
        <w:t xml:space="preserve"> </w:t>
      </w:r>
      <w:proofErr w:type="spellStart"/>
      <w:r w:rsidRPr="00D75D85">
        <w:rPr>
          <w:rFonts w:ascii="Arial" w:hAnsi="Arial" w:cs="Arial"/>
          <w:sz w:val="14"/>
          <w:szCs w:val="14"/>
        </w:rPr>
        <w:t>wachsen</w:t>
      </w:r>
      <w:proofErr w:type="spellEnd"/>
      <w:r w:rsidRPr="00D75D85">
        <w:rPr>
          <w:rFonts w:ascii="Arial" w:hAnsi="Arial" w:cs="Arial"/>
          <w:sz w:val="14"/>
          <w:szCs w:val="14"/>
        </w:rPr>
        <w:t xml:space="preserve">, je </w:t>
      </w:r>
      <w:proofErr w:type="spellStart"/>
      <w:r w:rsidRPr="00D75D85">
        <w:rPr>
          <w:rFonts w:ascii="Arial" w:hAnsi="Arial" w:cs="Arial"/>
          <w:sz w:val="14"/>
          <w:szCs w:val="14"/>
        </w:rPr>
        <w:t>näher</w:t>
      </w:r>
      <w:proofErr w:type="spellEnd"/>
      <w:r w:rsidRPr="00D75D85">
        <w:rPr>
          <w:rFonts w:ascii="Arial" w:hAnsi="Arial" w:cs="Arial"/>
          <w:sz w:val="14"/>
          <w:szCs w:val="14"/>
        </w:rPr>
        <w:t xml:space="preserve"> man dem </w:t>
      </w:r>
      <w:proofErr w:type="spellStart"/>
      <w:r w:rsidRPr="00D75D85">
        <w:rPr>
          <w:rFonts w:ascii="Arial" w:hAnsi="Arial" w:cs="Arial"/>
          <w:sz w:val="14"/>
          <w:szCs w:val="14"/>
        </w:rPr>
        <w:t>Ziele</w:t>
      </w:r>
      <w:proofErr w:type="spellEnd"/>
      <w:r w:rsidRPr="00D75D85">
        <w:rPr>
          <w:rFonts w:ascii="Arial" w:hAnsi="Arial" w:cs="Arial"/>
          <w:sz w:val="14"/>
          <w:szCs w:val="14"/>
        </w:rPr>
        <w:t xml:space="preserve"> </w:t>
      </w:r>
      <w:proofErr w:type="spellStart"/>
      <w:r w:rsidRPr="00D75D85">
        <w:rPr>
          <w:rFonts w:ascii="Arial" w:hAnsi="Arial" w:cs="Arial"/>
          <w:sz w:val="14"/>
          <w:szCs w:val="14"/>
        </w:rPr>
        <w:t>kommt</w:t>
      </w:r>
      <w:proofErr w:type="spellEnd"/>
      <w:r w:rsidRPr="00D75D85">
        <w:rPr>
          <w:rFonts w:ascii="Arial" w:hAnsi="Arial" w:cs="Arial"/>
          <w:sz w:val="14"/>
          <w:szCs w:val="14"/>
        </w:rPr>
        <w:t xml:space="preserve">.” – </w:t>
      </w:r>
      <w:proofErr w:type="spellStart"/>
      <w:r w:rsidRPr="00D75D85">
        <w:rPr>
          <w:rFonts w:ascii="Arial" w:hAnsi="Arial" w:cs="Arial"/>
          <w:sz w:val="14"/>
          <w:szCs w:val="14"/>
        </w:rPr>
        <w:t>Οι</w:t>
      </w:r>
      <w:proofErr w:type="spellEnd"/>
      <w:r w:rsidRPr="00D75D85">
        <w:rPr>
          <w:rFonts w:ascii="Arial" w:hAnsi="Arial" w:cs="Arial"/>
          <w:sz w:val="14"/>
          <w:szCs w:val="14"/>
        </w:rPr>
        <w:t xml:space="preserve"> </w:t>
      </w:r>
      <w:proofErr w:type="spellStart"/>
      <w:r w:rsidRPr="00D75D85">
        <w:rPr>
          <w:rFonts w:ascii="Arial" w:hAnsi="Arial" w:cs="Arial"/>
          <w:sz w:val="14"/>
          <w:szCs w:val="14"/>
        </w:rPr>
        <w:t>δυσκολίες</w:t>
      </w:r>
      <w:proofErr w:type="spellEnd"/>
      <w:r w:rsidRPr="00D75D85">
        <w:rPr>
          <w:rFonts w:ascii="Arial" w:hAnsi="Arial" w:cs="Arial"/>
          <w:sz w:val="14"/>
          <w:szCs w:val="14"/>
        </w:rPr>
        <w:t xml:space="preserve"> α</w:t>
      </w:r>
      <w:proofErr w:type="spellStart"/>
      <w:r w:rsidRPr="00D75D85">
        <w:rPr>
          <w:rFonts w:ascii="Arial" w:hAnsi="Arial" w:cs="Arial"/>
          <w:sz w:val="14"/>
          <w:szCs w:val="14"/>
        </w:rPr>
        <w:t>υξάνοντ</w:t>
      </w:r>
      <w:proofErr w:type="spellEnd"/>
      <w:r w:rsidRPr="00D75D85">
        <w:rPr>
          <w:rFonts w:ascii="Arial" w:hAnsi="Arial" w:cs="Arial"/>
          <w:sz w:val="14"/>
          <w:szCs w:val="14"/>
        </w:rPr>
        <w:t xml:space="preserve">αι, </w:t>
      </w:r>
      <w:proofErr w:type="spellStart"/>
      <w:r w:rsidRPr="00D75D85">
        <w:rPr>
          <w:rFonts w:ascii="Arial" w:hAnsi="Arial" w:cs="Arial"/>
          <w:sz w:val="14"/>
          <w:szCs w:val="14"/>
        </w:rPr>
        <w:t>όσο</w:t>
      </w:r>
      <w:proofErr w:type="spellEnd"/>
      <w:r w:rsidRPr="00D75D85">
        <w:rPr>
          <w:rFonts w:ascii="Arial" w:hAnsi="Arial" w:cs="Arial"/>
          <w:sz w:val="14"/>
          <w:szCs w:val="14"/>
        </w:rPr>
        <w:t xml:space="preserve"> π</w:t>
      </w:r>
      <w:proofErr w:type="spellStart"/>
      <w:r w:rsidRPr="00D75D85">
        <w:rPr>
          <w:rFonts w:ascii="Arial" w:hAnsi="Arial" w:cs="Arial"/>
          <w:sz w:val="14"/>
          <w:szCs w:val="14"/>
        </w:rPr>
        <w:t>ροσεγγίζει</w:t>
      </w:r>
      <w:proofErr w:type="spellEnd"/>
      <w:r w:rsidRPr="00D75D85">
        <w:rPr>
          <w:rFonts w:ascii="Arial" w:hAnsi="Arial" w:cs="Arial"/>
          <w:sz w:val="14"/>
          <w:szCs w:val="14"/>
        </w:rPr>
        <w:t xml:space="preserve"> κα</w:t>
      </w:r>
      <w:proofErr w:type="spellStart"/>
      <w:r w:rsidRPr="00D75D85">
        <w:rPr>
          <w:rFonts w:ascii="Arial" w:hAnsi="Arial" w:cs="Arial"/>
          <w:sz w:val="14"/>
          <w:szCs w:val="14"/>
        </w:rPr>
        <w:t>νείς</w:t>
      </w:r>
      <w:proofErr w:type="spellEnd"/>
      <w:r w:rsidRPr="00D75D85">
        <w:rPr>
          <w:rFonts w:ascii="Arial" w:hAnsi="Arial" w:cs="Arial"/>
          <w:sz w:val="14"/>
          <w:szCs w:val="14"/>
        </w:rPr>
        <w:t xml:space="preserve"> </w:t>
      </w:r>
      <w:proofErr w:type="spellStart"/>
      <w:r w:rsidRPr="00D75D85">
        <w:rPr>
          <w:rFonts w:ascii="Arial" w:hAnsi="Arial" w:cs="Arial"/>
          <w:sz w:val="14"/>
          <w:szCs w:val="14"/>
        </w:rPr>
        <w:t>τον</w:t>
      </w:r>
      <w:proofErr w:type="spellEnd"/>
      <w:r w:rsidRPr="00D75D85">
        <w:rPr>
          <w:rFonts w:ascii="Arial" w:hAnsi="Arial" w:cs="Arial"/>
          <w:sz w:val="14"/>
          <w:szCs w:val="14"/>
        </w:rPr>
        <w:t xml:space="preserve"> </w:t>
      </w:r>
      <w:proofErr w:type="spellStart"/>
      <w:r w:rsidRPr="00D75D85">
        <w:rPr>
          <w:rFonts w:ascii="Arial" w:hAnsi="Arial" w:cs="Arial"/>
          <w:sz w:val="14"/>
          <w:szCs w:val="14"/>
        </w:rPr>
        <w:t>στόχο</w:t>
      </w:r>
      <w:proofErr w:type="spellEnd"/>
      <w:r w:rsidRPr="00D75D85">
        <w:rPr>
          <w:rFonts w:ascii="Arial" w:hAnsi="Arial" w:cs="Arial"/>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161CE"/>
    <w:multiLevelType w:val="hybridMultilevel"/>
    <w:tmpl w:val="CC542B5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 w15:restartNumberingAfterBreak="0">
    <w:nsid w:val="52D1606F"/>
    <w:multiLevelType w:val="hybridMultilevel"/>
    <w:tmpl w:val="B5B20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BC37F4D"/>
    <w:multiLevelType w:val="hybridMultilevel"/>
    <w:tmpl w:val="E4D8B8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B3C082B"/>
    <w:multiLevelType w:val="hybridMultilevel"/>
    <w:tmpl w:val="3488B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87927915">
    <w:abstractNumId w:val="1"/>
  </w:num>
  <w:num w:numId="2" w16cid:durableId="502279959">
    <w:abstractNumId w:val="3"/>
  </w:num>
  <w:num w:numId="3" w16cid:durableId="390150875">
    <w:abstractNumId w:val="2"/>
  </w:num>
  <w:num w:numId="4" w16cid:durableId="1337197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4A"/>
    <w:rsid w:val="00022F02"/>
    <w:rsid w:val="000272CF"/>
    <w:rsid w:val="00037147"/>
    <w:rsid w:val="00044C8F"/>
    <w:rsid w:val="00045338"/>
    <w:rsid w:val="00051379"/>
    <w:rsid w:val="00073219"/>
    <w:rsid w:val="000A288F"/>
    <w:rsid w:val="000A304A"/>
    <w:rsid w:val="000A4140"/>
    <w:rsid w:val="000A5141"/>
    <w:rsid w:val="000A6028"/>
    <w:rsid w:val="000C32E3"/>
    <w:rsid w:val="000C46DD"/>
    <w:rsid w:val="000C5182"/>
    <w:rsid w:val="000D0221"/>
    <w:rsid w:val="000D1A19"/>
    <w:rsid w:val="000D5526"/>
    <w:rsid w:val="000E73F6"/>
    <w:rsid w:val="000F7419"/>
    <w:rsid w:val="0010083B"/>
    <w:rsid w:val="00180F26"/>
    <w:rsid w:val="00183895"/>
    <w:rsid w:val="00184CB0"/>
    <w:rsid w:val="00185971"/>
    <w:rsid w:val="0019445C"/>
    <w:rsid w:val="0019776D"/>
    <w:rsid w:val="001A04FD"/>
    <w:rsid w:val="001A37A9"/>
    <w:rsid w:val="001A4D11"/>
    <w:rsid w:val="001A759A"/>
    <w:rsid w:val="001C1BDE"/>
    <w:rsid w:val="001E3BEA"/>
    <w:rsid w:val="001E6951"/>
    <w:rsid w:val="001F0CF2"/>
    <w:rsid w:val="001F260A"/>
    <w:rsid w:val="00201E7D"/>
    <w:rsid w:val="00202559"/>
    <w:rsid w:val="00202FDB"/>
    <w:rsid w:val="00207C8D"/>
    <w:rsid w:val="002101EB"/>
    <w:rsid w:val="00227116"/>
    <w:rsid w:val="002435A1"/>
    <w:rsid w:val="00246066"/>
    <w:rsid w:val="00260190"/>
    <w:rsid w:val="00270D07"/>
    <w:rsid w:val="00281D53"/>
    <w:rsid w:val="00297799"/>
    <w:rsid w:val="002A2D24"/>
    <w:rsid w:val="002A3590"/>
    <w:rsid w:val="002B5FB8"/>
    <w:rsid w:val="002C168A"/>
    <w:rsid w:val="002C7892"/>
    <w:rsid w:val="002D3F97"/>
    <w:rsid w:val="00302264"/>
    <w:rsid w:val="00313191"/>
    <w:rsid w:val="00320888"/>
    <w:rsid w:val="00321C78"/>
    <w:rsid w:val="00325A6F"/>
    <w:rsid w:val="00333E5C"/>
    <w:rsid w:val="00336459"/>
    <w:rsid w:val="00340C76"/>
    <w:rsid w:val="003454F8"/>
    <w:rsid w:val="0034678E"/>
    <w:rsid w:val="00355259"/>
    <w:rsid w:val="00357937"/>
    <w:rsid w:val="00361374"/>
    <w:rsid w:val="003636A6"/>
    <w:rsid w:val="0036732C"/>
    <w:rsid w:val="00370A65"/>
    <w:rsid w:val="0037238A"/>
    <w:rsid w:val="00375D2B"/>
    <w:rsid w:val="00385AAE"/>
    <w:rsid w:val="003874C8"/>
    <w:rsid w:val="003877F1"/>
    <w:rsid w:val="00397328"/>
    <w:rsid w:val="003A245D"/>
    <w:rsid w:val="003A4A4F"/>
    <w:rsid w:val="003B3773"/>
    <w:rsid w:val="003C3284"/>
    <w:rsid w:val="003C3AA5"/>
    <w:rsid w:val="003E11F9"/>
    <w:rsid w:val="00406D19"/>
    <w:rsid w:val="00412FA2"/>
    <w:rsid w:val="00414884"/>
    <w:rsid w:val="00417ED3"/>
    <w:rsid w:val="00422D68"/>
    <w:rsid w:val="004341F8"/>
    <w:rsid w:val="0043621F"/>
    <w:rsid w:val="00443B6C"/>
    <w:rsid w:val="00450109"/>
    <w:rsid w:val="00453C47"/>
    <w:rsid w:val="0046071D"/>
    <w:rsid w:val="00463F9F"/>
    <w:rsid w:val="00464C3A"/>
    <w:rsid w:val="00466134"/>
    <w:rsid w:val="00483018"/>
    <w:rsid w:val="00491524"/>
    <w:rsid w:val="00497CD2"/>
    <w:rsid w:val="004A549E"/>
    <w:rsid w:val="004A59BA"/>
    <w:rsid w:val="004B79B4"/>
    <w:rsid w:val="004C30E9"/>
    <w:rsid w:val="004C6096"/>
    <w:rsid w:val="004D63E0"/>
    <w:rsid w:val="004D7D32"/>
    <w:rsid w:val="004F52A9"/>
    <w:rsid w:val="00515766"/>
    <w:rsid w:val="00530DAA"/>
    <w:rsid w:val="00533BA6"/>
    <w:rsid w:val="0054190C"/>
    <w:rsid w:val="00542108"/>
    <w:rsid w:val="00553F6C"/>
    <w:rsid w:val="00564CE7"/>
    <w:rsid w:val="00572D5B"/>
    <w:rsid w:val="00584A58"/>
    <w:rsid w:val="005863E4"/>
    <w:rsid w:val="00586BA9"/>
    <w:rsid w:val="00591679"/>
    <w:rsid w:val="00593A10"/>
    <w:rsid w:val="005B1F16"/>
    <w:rsid w:val="005B5CFE"/>
    <w:rsid w:val="005C059A"/>
    <w:rsid w:val="005C0C4E"/>
    <w:rsid w:val="005C0CDA"/>
    <w:rsid w:val="005E078D"/>
    <w:rsid w:val="005E2B89"/>
    <w:rsid w:val="005F2746"/>
    <w:rsid w:val="005F43AD"/>
    <w:rsid w:val="00604D0C"/>
    <w:rsid w:val="00606096"/>
    <w:rsid w:val="00606E2F"/>
    <w:rsid w:val="00614A99"/>
    <w:rsid w:val="00617823"/>
    <w:rsid w:val="00627512"/>
    <w:rsid w:val="00627DC6"/>
    <w:rsid w:val="0064172A"/>
    <w:rsid w:val="006418EF"/>
    <w:rsid w:val="006542A4"/>
    <w:rsid w:val="00656C46"/>
    <w:rsid w:val="00677754"/>
    <w:rsid w:val="0068377E"/>
    <w:rsid w:val="0068536A"/>
    <w:rsid w:val="006901E8"/>
    <w:rsid w:val="006932B9"/>
    <w:rsid w:val="0069557D"/>
    <w:rsid w:val="006A2DD2"/>
    <w:rsid w:val="006B5E1E"/>
    <w:rsid w:val="006D07A5"/>
    <w:rsid w:val="006D2AC6"/>
    <w:rsid w:val="006D3D1E"/>
    <w:rsid w:val="006E4337"/>
    <w:rsid w:val="006F37D0"/>
    <w:rsid w:val="00714EDE"/>
    <w:rsid w:val="00722631"/>
    <w:rsid w:val="0073051C"/>
    <w:rsid w:val="00730ACE"/>
    <w:rsid w:val="007354F4"/>
    <w:rsid w:val="0073681A"/>
    <w:rsid w:val="0074387F"/>
    <w:rsid w:val="00750403"/>
    <w:rsid w:val="00755A38"/>
    <w:rsid w:val="00764C47"/>
    <w:rsid w:val="00766A4F"/>
    <w:rsid w:val="007736AF"/>
    <w:rsid w:val="00776A9E"/>
    <w:rsid w:val="00785951"/>
    <w:rsid w:val="007874D4"/>
    <w:rsid w:val="00790999"/>
    <w:rsid w:val="00794D78"/>
    <w:rsid w:val="007A0D33"/>
    <w:rsid w:val="007B7A27"/>
    <w:rsid w:val="007C0704"/>
    <w:rsid w:val="007C4A55"/>
    <w:rsid w:val="007C6FC4"/>
    <w:rsid w:val="007C7957"/>
    <w:rsid w:val="007D4426"/>
    <w:rsid w:val="008116CE"/>
    <w:rsid w:val="00816456"/>
    <w:rsid w:val="00817F3B"/>
    <w:rsid w:val="00824A41"/>
    <w:rsid w:val="00832116"/>
    <w:rsid w:val="00837AC2"/>
    <w:rsid w:val="00845FB3"/>
    <w:rsid w:val="00846048"/>
    <w:rsid w:val="00853EC0"/>
    <w:rsid w:val="00855C86"/>
    <w:rsid w:val="0085688E"/>
    <w:rsid w:val="00863881"/>
    <w:rsid w:val="00864DCC"/>
    <w:rsid w:val="00873049"/>
    <w:rsid w:val="00894070"/>
    <w:rsid w:val="008A443F"/>
    <w:rsid w:val="008B0419"/>
    <w:rsid w:val="008B09DB"/>
    <w:rsid w:val="008B3C40"/>
    <w:rsid w:val="008B5AA3"/>
    <w:rsid w:val="008B61C2"/>
    <w:rsid w:val="008D28E5"/>
    <w:rsid w:val="008E31A9"/>
    <w:rsid w:val="008E7AC5"/>
    <w:rsid w:val="00900E3D"/>
    <w:rsid w:val="0090628A"/>
    <w:rsid w:val="00906441"/>
    <w:rsid w:val="009165DB"/>
    <w:rsid w:val="00935044"/>
    <w:rsid w:val="009418D5"/>
    <w:rsid w:val="00953005"/>
    <w:rsid w:val="00957998"/>
    <w:rsid w:val="009650DB"/>
    <w:rsid w:val="00971D89"/>
    <w:rsid w:val="009819E1"/>
    <w:rsid w:val="009917B1"/>
    <w:rsid w:val="009C06EC"/>
    <w:rsid w:val="009C19AD"/>
    <w:rsid w:val="009C3187"/>
    <w:rsid w:val="009C7987"/>
    <w:rsid w:val="009F46C4"/>
    <w:rsid w:val="009F7340"/>
    <w:rsid w:val="00A03640"/>
    <w:rsid w:val="00A044CC"/>
    <w:rsid w:val="00A20EFB"/>
    <w:rsid w:val="00A32C78"/>
    <w:rsid w:val="00A35D8D"/>
    <w:rsid w:val="00A36154"/>
    <w:rsid w:val="00A43B8F"/>
    <w:rsid w:val="00A56BA1"/>
    <w:rsid w:val="00A579CF"/>
    <w:rsid w:val="00A66246"/>
    <w:rsid w:val="00A677F1"/>
    <w:rsid w:val="00A730BF"/>
    <w:rsid w:val="00A74FE3"/>
    <w:rsid w:val="00A77BD7"/>
    <w:rsid w:val="00A80EF5"/>
    <w:rsid w:val="00A92784"/>
    <w:rsid w:val="00A9634B"/>
    <w:rsid w:val="00A97804"/>
    <w:rsid w:val="00AA47C4"/>
    <w:rsid w:val="00AB2233"/>
    <w:rsid w:val="00AB4182"/>
    <w:rsid w:val="00AC176B"/>
    <w:rsid w:val="00AC7C78"/>
    <w:rsid w:val="00AD0439"/>
    <w:rsid w:val="00AD0AA4"/>
    <w:rsid w:val="00AD5E60"/>
    <w:rsid w:val="00AF030E"/>
    <w:rsid w:val="00B02F07"/>
    <w:rsid w:val="00B062B8"/>
    <w:rsid w:val="00B06DAC"/>
    <w:rsid w:val="00B1198C"/>
    <w:rsid w:val="00B145EC"/>
    <w:rsid w:val="00B2022F"/>
    <w:rsid w:val="00B21F17"/>
    <w:rsid w:val="00B220DD"/>
    <w:rsid w:val="00B27D04"/>
    <w:rsid w:val="00B30105"/>
    <w:rsid w:val="00B4079D"/>
    <w:rsid w:val="00B44F1A"/>
    <w:rsid w:val="00B4717A"/>
    <w:rsid w:val="00B54C1B"/>
    <w:rsid w:val="00B60D05"/>
    <w:rsid w:val="00B715B1"/>
    <w:rsid w:val="00B936D5"/>
    <w:rsid w:val="00B96FED"/>
    <w:rsid w:val="00B97BAF"/>
    <w:rsid w:val="00BB14C6"/>
    <w:rsid w:val="00BB6505"/>
    <w:rsid w:val="00BB6E79"/>
    <w:rsid w:val="00BD3FA3"/>
    <w:rsid w:val="00BD61FB"/>
    <w:rsid w:val="00BD68CC"/>
    <w:rsid w:val="00BE0C25"/>
    <w:rsid w:val="00BE1DCA"/>
    <w:rsid w:val="00BE3603"/>
    <w:rsid w:val="00BE3DFD"/>
    <w:rsid w:val="00BF6659"/>
    <w:rsid w:val="00C10DFC"/>
    <w:rsid w:val="00C25ACA"/>
    <w:rsid w:val="00C262F4"/>
    <w:rsid w:val="00C31FB5"/>
    <w:rsid w:val="00C32E24"/>
    <w:rsid w:val="00C445D6"/>
    <w:rsid w:val="00C45DC4"/>
    <w:rsid w:val="00C65155"/>
    <w:rsid w:val="00C67EF4"/>
    <w:rsid w:val="00C711D6"/>
    <w:rsid w:val="00C81DEF"/>
    <w:rsid w:val="00C838F1"/>
    <w:rsid w:val="00C86D6D"/>
    <w:rsid w:val="00CB1EAE"/>
    <w:rsid w:val="00CB276A"/>
    <w:rsid w:val="00CC1A3F"/>
    <w:rsid w:val="00CD0977"/>
    <w:rsid w:val="00CD0C4F"/>
    <w:rsid w:val="00CD38FC"/>
    <w:rsid w:val="00CD447E"/>
    <w:rsid w:val="00CD7F6A"/>
    <w:rsid w:val="00CE6F7B"/>
    <w:rsid w:val="00CF7810"/>
    <w:rsid w:val="00D11214"/>
    <w:rsid w:val="00D12A14"/>
    <w:rsid w:val="00D14D8A"/>
    <w:rsid w:val="00D151BD"/>
    <w:rsid w:val="00D15299"/>
    <w:rsid w:val="00D25276"/>
    <w:rsid w:val="00D25705"/>
    <w:rsid w:val="00D267A8"/>
    <w:rsid w:val="00D3267F"/>
    <w:rsid w:val="00D335BE"/>
    <w:rsid w:val="00D356CE"/>
    <w:rsid w:val="00D42593"/>
    <w:rsid w:val="00D427C5"/>
    <w:rsid w:val="00D64797"/>
    <w:rsid w:val="00D64C28"/>
    <w:rsid w:val="00D75D85"/>
    <w:rsid w:val="00D7720D"/>
    <w:rsid w:val="00D8682A"/>
    <w:rsid w:val="00D929F5"/>
    <w:rsid w:val="00D94BCD"/>
    <w:rsid w:val="00D97783"/>
    <w:rsid w:val="00DA2653"/>
    <w:rsid w:val="00DA2D5C"/>
    <w:rsid w:val="00DB215C"/>
    <w:rsid w:val="00DB27E9"/>
    <w:rsid w:val="00DB6917"/>
    <w:rsid w:val="00DD1ECD"/>
    <w:rsid w:val="00E0693A"/>
    <w:rsid w:val="00E07095"/>
    <w:rsid w:val="00E10ED7"/>
    <w:rsid w:val="00E1325F"/>
    <w:rsid w:val="00E1556A"/>
    <w:rsid w:val="00E16153"/>
    <w:rsid w:val="00E22552"/>
    <w:rsid w:val="00E23A6E"/>
    <w:rsid w:val="00E2700F"/>
    <w:rsid w:val="00E32F8E"/>
    <w:rsid w:val="00E44983"/>
    <w:rsid w:val="00E449B2"/>
    <w:rsid w:val="00E50889"/>
    <w:rsid w:val="00E72767"/>
    <w:rsid w:val="00E73AEB"/>
    <w:rsid w:val="00E93810"/>
    <w:rsid w:val="00EC4013"/>
    <w:rsid w:val="00ED7E68"/>
    <w:rsid w:val="00EE0432"/>
    <w:rsid w:val="00EE1EB3"/>
    <w:rsid w:val="00F07246"/>
    <w:rsid w:val="00F07FD7"/>
    <w:rsid w:val="00F25B96"/>
    <w:rsid w:val="00F26854"/>
    <w:rsid w:val="00F27A63"/>
    <w:rsid w:val="00F3065E"/>
    <w:rsid w:val="00F403D6"/>
    <w:rsid w:val="00F42066"/>
    <w:rsid w:val="00F425A6"/>
    <w:rsid w:val="00F5007A"/>
    <w:rsid w:val="00F55107"/>
    <w:rsid w:val="00F57FE6"/>
    <w:rsid w:val="00F67B7B"/>
    <w:rsid w:val="00F7391F"/>
    <w:rsid w:val="00F82562"/>
    <w:rsid w:val="00F86045"/>
    <w:rsid w:val="00F957D8"/>
    <w:rsid w:val="00F970AF"/>
    <w:rsid w:val="00FA4464"/>
    <w:rsid w:val="00FA7855"/>
    <w:rsid w:val="00FB6324"/>
    <w:rsid w:val="00FD2E4F"/>
    <w:rsid w:val="00FD317F"/>
    <w:rsid w:val="00FE3F5E"/>
    <w:rsid w:val="00FE59FF"/>
    <w:rsid w:val="00FF5D14"/>
    <w:rsid w:val="00FF6A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B5B2BBD"/>
  <w15:docId w15:val="{4E78E2ED-B481-495E-B03F-BF9B16A4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000000"/>
      <w:sz w:val="24"/>
      <w:lang w:val="en-AU"/>
    </w:rPr>
  </w:style>
  <w:style w:type="paragraph" w:styleId="Heading1">
    <w:name w:val="heading 1"/>
    <w:basedOn w:val="Normal"/>
    <w:next w:val="Normal"/>
    <w:qFormat/>
    <w:pPr>
      <w:keepNext/>
      <w:spacing w:line="360" w:lineRule="auto"/>
      <w:ind w:firstLine="720"/>
      <w:jc w:val="both"/>
      <w:outlineLvl w:val="0"/>
    </w:pPr>
    <w:rPr>
      <w:i/>
      <w:sz w:val="22"/>
      <w:u w:val="single"/>
      <w:lang w:val="el-GR"/>
    </w:rPr>
  </w:style>
  <w:style w:type="paragraph" w:styleId="Heading6">
    <w:name w:val="heading 6"/>
    <w:basedOn w:val="Normal"/>
    <w:next w:val="Normal"/>
    <w:qFormat/>
    <w:pPr>
      <w:keepNext/>
      <w:spacing w:line="360" w:lineRule="auto"/>
      <w:ind w:left="851" w:right="340"/>
      <w:jc w:val="both"/>
      <w:outlineLvl w:val="5"/>
    </w:pPr>
    <w:rPr>
      <w:i/>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Footer">
    <w:name w:val="footer"/>
    <w:basedOn w:val="Normal"/>
    <w:link w:val="FooterChar"/>
    <w:uiPriority w:val="99"/>
    <w:pPr>
      <w:tabs>
        <w:tab w:val="center" w:pos="4153"/>
        <w:tab w:val="right" w:pos="8306"/>
      </w:tabs>
    </w:pPr>
    <w:rPr>
      <w:rFonts w:ascii="Times New Roman" w:hAnsi="Times New Roman" w:cs="Times New Roman"/>
      <w:lang w:val="en-GB"/>
    </w:rPr>
  </w:style>
  <w:style w:type="paragraph" w:styleId="CommentText">
    <w:name w:val="annotation text"/>
    <w:basedOn w:val="Normal"/>
    <w:rPr>
      <w:sz w:val="20"/>
    </w:rPr>
  </w:style>
  <w:style w:type="paragraph" w:styleId="DocumentMap">
    <w:name w:val="Document Map"/>
    <w:basedOn w:val="Normal"/>
    <w:pPr>
      <w:shd w:val="clear" w:color="000000" w:fill="00007F"/>
    </w:pPr>
    <w:rPr>
      <w:rFonts w:ascii="Tahoma" w:hAnsi="Tahoma" w:cs="Tahoma"/>
      <w:sz w:val="20"/>
    </w:rPr>
  </w:style>
  <w:style w:type="paragraph" w:styleId="FootnoteText">
    <w:name w:val="footnote text"/>
    <w:basedOn w:val="Normal"/>
    <w:rPr>
      <w:rFonts w:ascii="Times New Roman" w:hAnsi="Times New Roman" w:cs="Times New Roman"/>
      <w:sz w:val="20"/>
      <w:lang w:eastAsia="en-US"/>
    </w:rPr>
  </w:style>
  <w:style w:type="paragraph" w:styleId="BodyText">
    <w:name w:val="Body Text"/>
    <w:basedOn w:val="Normal"/>
    <w:pPr>
      <w:jc w:val="both"/>
    </w:pPr>
    <w:rPr>
      <w:rFonts w:ascii="Times New Roman" w:hAnsi="Times New Roman" w:cs="Times New Roman"/>
      <w:lang w:val="el-GR"/>
    </w:rPr>
  </w:style>
  <w:style w:type="paragraph" w:styleId="CommentSubject">
    <w:name w:val="annotation subject"/>
    <w:basedOn w:val="CommentText"/>
    <w:next w:val="CommentText"/>
    <w:rPr>
      <w:b/>
    </w:rPr>
  </w:style>
  <w:style w:type="paragraph" w:styleId="NormalWeb">
    <w:name w:val="Normal (Web)"/>
    <w:basedOn w:val="Normal"/>
    <w:pPr>
      <w:spacing w:before="100" w:beforeAutospacing="1" w:after="100" w:afterAutospacing="1"/>
    </w:pPr>
    <w:rPr>
      <w:rFonts w:ascii="Times New Roman" w:hAnsi="Times New Roman" w:cs="Times New Roman"/>
      <w:szCs w:val="24"/>
      <w:lang w:val="el-GR"/>
    </w:rPr>
  </w:style>
  <w:style w:type="paragraph" w:styleId="Header">
    <w:name w:val="header"/>
    <w:basedOn w:val="Normal"/>
    <w:pPr>
      <w:tabs>
        <w:tab w:val="center" w:pos="4153"/>
        <w:tab w:val="right" w:pos="8306"/>
      </w:tabs>
    </w:pPr>
  </w:style>
  <w:style w:type="paragraph" w:customStyle="1" w:styleId="Revision1">
    <w:name w:val="Revision1"/>
    <w:rPr>
      <w:rFonts w:ascii="Arial" w:hAnsi="Arial" w:cs="Arial"/>
      <w:color w:val="000000"/>
      <w:sz w:val="24"/>
      <w:lang w:val="en-AU"/>
    </w:rPr>
  </w:style>
  <w:style w:type="paragraph" w:styleId="EndnoteText">
    <w:name w:val="endnote text"/>
    <w:basedOn w:val="Normal"/>
    <w:rPr>
      <w:sz w:val="20"/>
    </w:rPr>
  </w:style>
  <w:style w:type="character" w:styleId="PageNumber">
    <w:name w:val="page number"/>
    <w:basedOn w:val="DefaultParagraphFont"/>
  </w:style>
  <w:style w:type="character" w:styleId="Emphasis">
    <w:name w:val="Emphasis"/>
    <w:qFormat/>
    <w:rPr>
      <w:i/>
      <w:iCs w:val="0"/>
    </w:rPr>
  </w:style>
  <w:style w:type="character" w:customStyle="1" w:styleId="CommentSubjectChar">
    <w:name w:val="Comment Subject Char"/>
    <w:rPr>
      <w:rFonts w:ascii="Arial" w:hAnsi="Arial"/>
      <w:b/>
      <w:bCs w:val="0"/>
      <w:lang w:val="en-AU"/>
    </w:rPr>
  </w:style>
  <w:style w:type="character" w:customStyle="1" w:styleId="bog-bodytext1">
    <w:name w:val="bog-bodytext1"/>
    <w:rPr>
      <w:rFonts w:ascii="Tahoma" w:hAnsi="Tahoma" w:cs="Tahoma"/>
      <w:color w:val="000000"/>
      <w:sz w:val="18"/>
      <w:szCs w:val="18"/>
    </w:rPr>
  </w:style>
  <w:style w:type="character" w:customStyle="1" w:styleId="HeaderChar">
    <w:name w:val="Header Char"/>
    <w:rPr>
      <w:rFonts w:ascii="Arial" w:hAnsi="Arial"/>
      <w:sz w:val="24"/>
      <w:lang w:val="en-AU"/>
    </w:rPr>
  </w:style>
  <w:style w:type="character" w:customStyle="1" w:styleId="BodyTextChar">
    <w:name w:val="Body Text Char"/>
    <w:rPr>
      <w:sz w:val="24"/>
      <w:lang w:val="el-GR" w:eastAsia="el-GR" w:bidi="ar-SA"/>
    </w:rPr>
  </w:style>
  <w:style w:type="character" w:styleId="CommentReference">
    <w:name w:val="annotation reference"/>
    <w:rPr>
      <w:sz w:val="16"/>
      <w:szCs w:val="16"/>
    </w:rPr>
  </w:style>
  <w:style w:type="character" w:customStyle="1" w:styleId="FootnoteTextChar">
    <w:name w:val="Footnote Text Char"/>
    <w:rPr>
      <w:lang w:eastAsia="en-US"/>
    </w:rPr>
  </w:style>
  <w:style w:type="character" w:customStyle="1" w:styleId="BalloonTextChar">
    <w:name w:val="Balloon Text Char"/>
    <w:rPr>
      <w:rFonts w:ascii="Tahoma" w:hAnsi="Tahoma" w:cs="Tahoma"/>
      <w:sz w:val="16"/>
      <w:szCs w:val="16"/>
      <w:lang w:val="en-AU"/>
    </w:rPr>
  </w:style>
  <w:style w:type="character" w:customStyle="1" w:styleId="bog-bodytext">
    <w:name w:val="bog-bodytext"/>
    <w:basedOn w:val="DefaultParagraphFont"/>
  </w:style>
  <w:style w:type="character" w:styleId="FootnoteReference">
    <w:name w:val="footnote reference"/>
    <w:rPr>
      <w:position w:val="-2"/>
      <w:vertAlign w:val="superscript"/>
    </w:rPr>
  </w:style>
  <w:style w:type="character" w:customStyle="1" w:styleId="CommentTextChar">
    <w:name w:val="Comment Text Char"/>
    <w:rPr>
      <w:rFonts w:ascii="Arial" w:hAnsi="Arial"/>
      <w:lang w:val="en-AU"/>
    </w:rPr>
  </w:style>
  <w:style w:type="character" w:customStyle="1" w:styleId="apple-converted-space">
    <w:name w:val="apple-converted-space"/>
    <w:basedOn w:val="DefaultParagraphFont"/>
  </w:style>
  <w:style w:type="character" w:customStyle="1" w:styleId="EndnoteTextChar">
    <w:name w:val="Endnote Text Char"/>
    <w:rPr>
      <w:rFonts w:ascii="Arial" w:hAnsi="Arial"/>
      <w:lang w:val="en-AU" w:eastAsia="el-GR"/>
    </w:rPr>
  </w:style>
  <w:style w:type="character" w:styleId="EndnoteReference">
    <w:name w:val="endnote reference"/>
    <w:rPr>
      <w:position w:val="-2"/>
      <w:vertAlign w:val="superscript"/>
    </w:rPr>
  </w:style>
  <w:style w:type="table" w:styleId="TableGrid">
    <w:name w:val="Table Grid"/>
    <w:basedOn w:val="TableNormal"/>
    <w:uiPriority w:val="59"/>
    <w:rsid w:val="00C7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11D6"/>
    <w:rPr>
      <w:color w:val="0000FF"/>
      <w:u w:val="single"/>
    </w:rPr>
  </w:style>
  <w:style w:type="character" w:customStyle="1" w:styleId="FooterChar">
    <w:name w:val="Footer Char"/>
    <w:link w:val="Footer"/>
    <w:uiPriority w:val="99"/>
    <w:rsid w:val="00766A4F"/>
    <w:rPr>
      <w:color w:val="000000"/>
      <w:sz w:val="24"/>
      <w:lang w:val="en-GB"/>
    </w:rPr>
  </w:style>
  <w:style w:type="character" w:styleId="FollowedHyperlink">
    <w:name w:val="FollowedHyperlink"/>
    <w:basedOn w:val="DefaultParagraphFont"/>
    <w:uiPriority w:val="99"/>
    <w:semiHidden/>
    <w:unhideWhenUsed/>
    <w:rsid w:val="00B27D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4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ankofgreece.gr" TargetMode="External"/><Relationship Id="rId1" Type="http://schemas.openxmlformats.org/officeDocument/2006/relationships/hyperlink" Target="mailto:press@bankofgreec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17D61-8D67-4D08-A70B-A18A9F65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4392</Words>
  <Characters>25037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Manager>serv.press@bankofgreece.gr</Manager>
  <Company>Bank of Greece</Company>
  <LinksUpToDate>false</LinksUpToDate>
  <CharactersWithSpaces>29371</CharactersWithSpaces>
  <SharedDoc>false</SharedDoc>
  <HLinks>
    <vt:vector size="18" baseType="variant">
      <vt:variant>
        <vt:i4>7667753</vt:i4>
      </vt:variant>
      <vt:variant>
        <vt:i4>0</vt:i4>
      </vt:variant>
      <vt:variant>
        <vt:i4>0</vt:i4>
      </vt:variant>
      <vt:variant>
        <vt:i4>5</vt:i4>
      </vt:variant>
      <vt:variant>
        <vt:lpwstr>http://www.bankofgreece.gr/</vt:lpwstr>
      </vt:variant>
      <vt:variant>
        <vt:lpwstr/>
      </vt:variant>
      <vt:variant>
        <vt:i4>7667753</vt:i4>
      </vt:variant>
      <vt:variant>
        <vt:i4>3</vt:i4>
      </vt:variant>
      <vt:variant>
        <vt:i4>0</vt:i4>
      </vt:variant>
      <vt:variant>
        <vt:i4>5</vt:i4>
      </vt:variant>
      <vt:variant>
        <vt:lpwstr>http://www.bankofgreece.gr/</vt:lpwstr>
      </vt:variant>
      <vt:variant>
        <vt:lpwstr/>
      </vt:variant>
      <vt:variant>
        <vt:i4>5898354</vt:i4>
      </vt:variant>
      <vt:variant>
        <vt:i4>0</vt:i4>
      </vt:variant>
      <vt:variant>
        <vt:i4>0</vt:i4>
      </vt:variant>
      <vt:variant>
        <vt:i4>5</vt:i4>
      </vt:variant>
      <vt:variant>
        <vt:lpwstr>mailto:press@bankofgreece.gr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Communication Section</dc:creator>
  <cp:lastModifiedBy>Kostats Sarris</cp:lastModifiedBy>
  <cp:revision>2</cp:revision>
  <cp:lastPrinted>2020-09-15T08:56:00Z</cp:lastPrinted>
  <dcterms:created xsi:type="dcterms:W3CDTF">2023-02-16T19:08:00Z</dcterms:created>
  <dcterms:modified xsi:type="dcterms:W3CDTF">2023-02-16T19:08:00Z</dcterms:modified>
</cp:coreProperties>
</file>